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B95" w:rsidRPr="00D80B95" w:rsidRDefault="00D80B95" w:rsidP="00D80B95">
      <w:pPr>
        <w:spacing w:after="0" w:line="240" w:lineRule="auto"/>
        <w:jc w:val="right"/>
        <w:rPr>
          <w:rFonts w:ascii="Arial" w:eastAsia="DengXian" w:hAnsi="Arial" w:cs="Arial"/>
          <w:sz w:val="24"/>
          <w:u w:val="single"/>
        </w:rPr>
      </w:pPr>
      <w:r w:rsidRPr="00D80B95">
        <w:rPr>
          <w:rFonts w:ascii="Arial" w:eastAsia="DengXian" w:hAnsi="Arial" w:cs="Arial"/>
          <w:sz w:val="24"/>
          <w:u w:val="single"/>
        </w:rPr>
        <w:t>Annex C1</w:t>
      </w:r>
    </w:p>
    <w:p w:rsidR="00D80B95" w:rsidRPr="00D80B95" w:rsidRDefault="00D80B95" w:rsidP="00D80B95">
      <w:pPr>
        <w:spacing w:after="0" w:line="240" w:lineRule="auto"/>
        <w:jc w:val="center"/>
        <w:rPr>
          <w:rFonts w:ascii="Arial" w:eastAsia="DengXian" w:hAnsi="Arial" w:cs="Arial"/>
          <w:b/>
          <w:sz w:val="24"/>
        </w:rPr>
      </w:pPr>
      <w:r w:rsidRPr="00D80B95">
        <w:rPr>
          <w:rFonts w:ascii="Arial" w:eastAsia="DengXian" w:hAnsi="Arial" w:cs="Arial"/>
          <w:b/>
          <w:sz w:val="24"/>
        </w:rPr>
        <w:t>Summary of Cases in the Community</w:t>
      </w:r>
    </w:p>
    <w:p w:rsidR="00D80B95" w:rsidRPr="00D80B95" w:rsidRDefault="00D80B95" w:rsidP="00D80B95">
      <w:pPr>
        <w:spacing w:after="0" w:line="240" w:lineRule="auto"/>
        <w:jc w:val="both"/>
        <w:rPr>
          <w:rFonts w:ascii="Arial" w:eastAsia="DengXian" w:hAnsi="Arial" w:cs="Arial"/>
        </w:rPr>
      </w:pPr>
    </w:p>
    <w:tbl>
      <w:tblPr>
        <w:tblW w:w="13945" w:type="dxa"/>
        <w:tblLayout w:type="fixed"/>
        <w:tblCellMar>
          <w:left w:w="0" w:type="dxa"/>
          <w:right w:w="0" w:type="dxa"/>
        </w:tblCellMar>
        <w:tblLook w:val="0600" w:firstRow="0" w:lastRow="0" w:firstColumn="0" w:lastColumn="0" w:noHBand="1" w:noVBand="1"/>
      </w:tblPr>
      <w:tblGrid>
        <w:gridCol w:w="265"/>
        <w:gridCol w:w="900"/>
        <w:gridCol w:w="1890"/>
        <w:gridCol w:w="1440"/>
        <w:gridCol w:w="450"/>
        <w:gridCol w:w="360"/>
        <w:gridCol w:w="1170"/>
        <w:gridCol w:w="450"/>
        <w:gridCol w:w="1620"/>
        <w:gridCol w:w="2250"/>
        <w:gridCol w:w="1260"/>
        <w:gridCol w:w="1890"/>
      </w:tblGrid>
      <w:tr w:rsidR="00D80B95" w:rsidRPr="00D80B95" w:rsidTr="00D80B95">
        <w:trPr>
          <w:cantSplit/>
          <w:trHeight w:val="1974"/>
          <w:tblHeader/>
        </w:trPr>
        <w:tc>
          <w:tcPr>
            <w:tcW w:w="265" w:type="dxa"/>
            <w:tcBorders>
              <w:top w:val="single" w:sz="4" w:space="0" w:color="000000"/>
              <w:left w:val="single" w:sz="4" w:space="0" w:color="000000"/>
              <w:bottom w:val="single" w:sz="4" w:space="0" w:color="000000"/>
              <w:right w:val="single" w:sz="4" w:space="0" w:color="000000"/>
            </w:tcBorders>
            <w:shd w:val="clear" w:color="auto" w:fill="FFE599"/>
            <w:textDirection w:val="btLr"/>
          </w:tcPr>
          <w:p w:rsidR="00D80B95" w:rsidRPr="00D80B95" w:rsidRDefault="00D80B95" w:rsidP="00D80B95">
            <w:pPr>
              <w:tabs>
                <w:tab w:val="left" w:pos="1640"/>
              </w:tabs>
              <w:spacing w:before="40" w:after="40" w:line="240" w:lineRule="auto"/>
              <w:ind w:left="113" w:right="113"/>
              <w:rPr>
                <w:rFonts w:ascii="Arial" w:eastAsia="DengXian" w:hAnsi="Arial" w:cs="Arial"/>
                <w:b/>
              </w:rPr>
            </w:pPr>
          </w:p>
        </w:tc>
        <w:tc>
          <w:tcPr>
            <w:tcW w:w="900" w:type="dxa"/>
            <w:tcBorders>
              <w:top w:val="single" w:sz="4" w:space="0" w:color="000000"/>
              <w:left w:val="single" w:sz="4" w:space="0" w:color="000000"/>
              <w:bottom w:val="single" w:sz="4" w:space="0" w:color="000000"/>
              <w:right w:val="single" w:sz="4" w:space="0" w:color="000000"/>
            </w:tcBorders>
            <w:shd w:val="clear" w:color="auto" w:fill="FFE599"/>
            <w:tcMar>
              <w:top w:w="5" w:type="dxa"/>
              <w:left w:w="5" w:type="dxa"/>
              <w:bottom w:w="0" w:type="dxa"/>
              <w:right w:w="5" w:type="dxa"/>
            </w:tcMar>
            <w:textDirection w:val="btLr"/>
            <w:vAlign w:val="center"/>
            <w:hideMark/>
          </w:tcPr>
          <w:p w:rsidR="00D80B95" w:rsidRPr="00D80B95" w:rsidRDefault="00D80B95" w:rsidP="00D80B95">
            <w:pPr>
              <w:tabs>
                <w:tab w:val="left" w:pos="1640"/>
              </w:tabs>
              <w:spacing w:before="40" w:after="40" w:line="240" w:lineRule="auto"/>
              <w:ind w:left="113" w:right="113"/>
              <w:rPr>
                <w:rFonts w:ascii="Arial" w:eastAsia="DengXian" w:hAnsi="Arial" w:cs="Arial"/>
                <w:b/>
              </w:rPr>
            </w:pPr>
            <w:bookmarkStart w:id="0" w:name="OLE_LINK25"/>
            <w:r w:rsidRPr="00D80B95">
              <w:rPr>
                <w:rFonts w:ascii="Arial" w:eastAsia="DengXian" w:hAnsi="Arial" w:cs="Arial"/>
                <w:b/>
              </w:rPr>
              <w:t>Case Number</w:t>
            </w:r>
          </w:p>
        </w:tc>
        <w:tc>
          <w:tcPr>
            <w:tcW w:w="1890" w:type="dxa"/>
            <w:tcBorders>
              <w:top w:val="single" w:sz="4" w:space="0" w:color="000000"/>
              <w:left w:val="single" w:sz="4" w:space="0" w:color="000000"/>
              <w:bottom w:val="single" w:sz="4" w:space="0" w:color="000000"/>
              <w:right w:val="single" w:sz="4" w:space="0" w:color="000000"/>
            </w:tcBorders>
            <w:shd w:val="clear" w:color="auto" w:fill="FFE599"/>
            <w:tcMar>
              <w:top w:w="5" w:type="dxa"/>
              <w:left w:w="5" w:type="dxa"/>
              <w:bottom w:w="0" w:type="dxa"/>
              <w:right w:w="5" w:type="dxa"/>
            </w:tcMar>
            <w:textDirection w:val="btLr"/>
            <w:vAlign w:val="center"/>
            <w:hideMark/>
          </w:tcPr>
          <w:p w:rsidR="00D80B95" w:rsidRPr="00D80B95" w:rsidRDefault="00D80B95" w:rsidP="00D80B95">
            <w:pPr>
              <w:tabs>
                <w:tab w:val="left" w:pos="1640"/>
              </w:tabs>
              <w:spacing w:before="40" w:after="40" w:line="240" w:lineRule="auto"/>
              <w:ind w:left="113" w:right="113"/>
              <w:rPr>
                <w:rFonts w:ascii="Arial" w:eastAsia="DengXian" w:hAnsi="Arial" w:cs="Arial"/>
                <w:b/>
              </w:rPr>
            </w:pPr>
            <w:r w:rsidRPr="00D80B95">
              <w:rPr>
                <w:rFonts w:ascii="Arial" w:eastAsia="DengXian" w:hAnsi="Arial" w:cs="Arial"/>
                <w:b/>
              </w:rPr>
              <w:t>Date of Confirmation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E599"/>
            <w:textDirection w:val="btLr"/>
            <w:vAlign w:val="center"/>
          </w:tcPr>
          <w:p w:rsidR="00D80B95" w:rsidRPr="00D80B95" w:rsidRDefault="00D80B95" w:rsidP="00D80B95">
            <w:pPr>
              <w:tabs>
                <w:tab w:val="left" w:pos="1640"/>
              </w:tabs>
              <w:spacing w:before="40" w:after="40" w:line="240" w:lineRule="auto"/>
              <w:ind w:left="113" w:right="113"/>
              <w:rPr>
                <w:rFonts w:ascii="Arial" w:eastAsia="DengXian" w:hAnsi="Arial" w:cs="Arial"/>
                <w:b/>
              </w:rPr>
            </w:pPr>
            <w:r w:rsidRPr="00D80B95">
              <w:rPr>
                <w:rFonts w:ascii="Arial" w:eastAsia="DengXian" w:hAnsi="Arial" w:cs="Arial"/>
                <w:b/>
              </w:rPr>
              <w:t>Onset date</w:t>
            </w:r>
          </w:p>
        </w:tc>
        <w:tc>
          <w:tcPr>
            <w:tcW w:w="450" w:type="dxa"/>
            <w:tcBorders>
              <w:top w:val="single" w:sz="4" w:space="0" w:color="000000"/>
              <w:left w:val="single" w:sz="4" w:space="0" w:color="000000"/>
              <w:bottom w:val="single" w:sz="4" w:space="0" w:color="000000"/>
              <w:right w:val="single" w:sz="4" w:space="0" w:color="000000"/>
            </w:tcBorders>
            <w:shd w:val="clear" w:color="auto" w:fill="FFE599"/>
            <w:tcMar>
              <w:top w:w="5" w:type="dxa"/>
              <w:left w:w="5" w:type="dxa"/>
              <w:bottom w:w="0" w:type="dxa"/>
              <w:right w:w="5" w:type="dxa"/>
            </w:tcMar>
            <w:textDirection w:val="btLr"/>
            <w:vAlign w:val="center"/>
            <w:hideMark/>
          </w:tcPr>
          <w:p w:rsidR="00D80B95" w:rsidRPr="00D80B95" w:rsidRDefault="00D80B95" w:rsidP="00D80B95">
            <w:pPr>
              <w:tabs>
                <w:tab w:val="left" w:pos="1640"/>
              </w:tabs>
              <w:spacing w:before="40" w:after="40" w:line="240" w:lineRule="auto"/>
              <w:ind w:left="113" w:right="113"/>
              <w:rPr>
                <w:rFonts w:ascii="Arial" w:eastAsia="DengXian" w:hAnsi="Arial" w:cs="Arial"/>
                <w:b/>
              </w:rPr>
            </w:pPr>
            <w:r w:rsidRPr="00D80B95">
              <w:rPr>
                <w:rFonts w:ascii="Arial" w:eastAsia="DengXian" w:hAnsi="Arial" w:cs="Arial"/>
                <w:b/>
              </w:rPr>
              <w:t>Age (years)</w:t>
            </w:r>
          </w:p>
        </w:tc>
        <w:tc>
          <w:tcPr>
            <w:tcW w:w="360" w:type="dxa"/>
            <w:tcBorders>
              <w:top w:val="single" w:sz="4" w:space="0" w:color="000000"/>
              <w:left w:val="single" w:sz="4" w:space="0" w:color="000000"/>
              <w:bottom w:val="single" w:sz="4" w:space="0" w:color="000000"/>
              <w:right w:val="single" w:sz="4" w:space="0" w:color="000000"/>
            </w:tcBorders>
            <w:shd w:val="clear" w:color="auto" w:fill="FFE599"/>
            <w:tcMar>
              <w:top w:w="5" w:type="dxa"/>
              <w:left w:w="5" w:type="dxa"/>
              <w:bottom w:w="0" w:type="dxa"/>
              <w:right w:w="5" w:type="dxa"/>
            </w:tcMar>
            <w:textDirection w:val="btLr"/>
            <w:vAlign w:val="center"/>
            <w:hideMark/>
          </w:tcPr>
          <w:p w:rsidR="00D80B95" w:rsidRPr="00D80B95" w:rsidRDefault="00D80B95" w:rsidP="00D80B95">
            <w:pPr>
              <w:tabs>
                <w:tab w:val="left" w:pos="1640"/>
              </w:tabs>
              <w:spacing w:before="40" w:after="40" w:line="240" w:lineRule="auto"/>
              <w:ind w:left="113" w:right="113"/>
              <w:rPr>
                <w:rFonts w:ascii="Arial" w:eastAsia="DengXian" w:hAnsi="Arial" w:cs="Arial"/>
                <w:b/>
              </w:rPr>
            </w:pPr>
            <w:r w:rsidRPr="00D80B95">
              <w:rPr>
                <w:rFonts w:ascii="Arial" w:eastAsia="DengXian" w:hAnsi="Arial" w:cs="Arial"/>
                <w:b/>
              </w:rPr>
              <w:t>Gender</w:t>
            </w:r>
          </w:p>
        </w:tc>
        <w:tc>
          <w:tcPr>
            <w:tcW w:w="1170" w:type="dxa"/>
            <w:tcBorders>
              <w:top w:val="single" w:sz="4" w:space="0" w:color="000000"/>
              <w:left w:val="single" w:sz="4" w:space="0" w:color="000000"/>
              <w:bottom w:val="single" w:sz="4" w:space="0" w:color="000000"/>
              <w:right w:val="single" w:sz="4" w:space="0" w:color="000000"/>
            </w:tcBorders>
            <w:shd w:val="clear" w:color="auto" w:fill="FFE599"/>
            <w:tcMar>
              <w:top w:w="5" w:type="dxa"/>
              <w:left w:w="5" w:type="dxa"/>
              <w:bottom w:w="0" w:type="dxa"/>
              <w:right w:w="5" w:type="dxa"/>
            </w:tcMar>
            <w:textDirection w:val="btLr"/>
            <w:vAlign w:val="center"/>
            <w:hideMark/>
          </w:tcPr>
          <w:p w:rsidR="00D80B95" w:rsidRPr="00D80B95" w:rsidRDefault="00D80B95" w:rsidP="00D80B95">
            <w:pPr>
              <w:tabs>
                <w:tab w:val="left" w:pos="1640"/>
              </w:tabs>
              <w:spacing w:before="40" w:after="40" w:line="240" w:lineRule="auto"/>
              <w:ind w:left="113" w:right="113"/>
              <w:rPr>
                <w:rFonts w:ascii="Arial" w:eastAsia="DengXian" w:hAnsi="Arial" w:cs="Arial"/>
                <w:b/>
              </w:rPr>
            </w:pPr>
            <w:r w:rsidRPr="00D80B95">
              <w:rPr>
                <w:rFonts w:ascii="Arial" w:eastAsia="DengXian" w:hAnsi="Arial" w:cs="Arial"/>
                <w:b/>
              </w:rPr>
              <w:t>Nationality</w:t>
            </w:r>
          </w:p>
        </w:tc>
        <w:tc>
          <w:tcPr>
            <w:tcW w:w="450" w:type="dxa"/>
            <w:tcBorders>
              <w:top w:val="single" w:sz="4" w:space="0" w:color="000000"/>
              <w:left w:val="single" w:sz="4" w:space="0" w:color="000000"/>
              <w:bottom w:val="single" w:sz="4" w:space="0" w:color="000000"/>
              <w:right w:val="single" w:sz="4" w:space="0" w:color="000000"/>
            </w:tcBorders>
            <w:shd w:val="clear" w:color="auto" w:fill="FFE599"/>
            <w:tcMar>
              <w:top w:w="5" w:type="dxa"/>
              <w:left w:w="5" w:type="dxa"/>
              <w:bottom w:w="0" w:type="dxa"/>
              <w:right w:w="5" w:type="dxa"/>
            </w:tcMar>
            <w:textDirection w:val="btLr"/>
            <w:vAlign w:val="center"/>
            <w:hideMark/>
          </w:tcPr>
          <w:p w:rsidR="00D80B95" w:rsidRPr="00D80B95" w:rsidRDefault="00D80B95" w:rsidP="00D80B95">
            <w:pPr>
              <w:tabs>
                <w:tab w:val="left" w:pos="1640"/>
              </w:tabs>
              <w:spacing w:before="40" w:after="40" w:line="240" w:lineRule="auto"/>
              <w:ind w:left="113" w:right="113"/>
              <w:rPr>
                <w:rFonts w:ascii="Arial" w:eastAsia="DengXian" w:hAnsi="Arial" w:cs="Arial"/>
                <w:b/>
              </w:rPr>
            </w:pPr>
            <w:r w:rsidRPr="00D80B95">
              <w:rPr>
                <w:rFonts w:ascii="Arial" w:eastAsia="DengXian" w:hAnsi="Arial" w:cs="Arial"/>
                <w:b/>
              </w:rPr>
              <w:t>Travel History</w:t>
            </w:r>
          </w:p>
        </w:tc>
        <w:tc>
          <w:tcPr>
            <w:tcW w:w="1620" w:type="dxa"/>
            <w:tcBorders>
              <w:top w:val="single" w:sz="4" w:space="0" w:color="000000"/>
              <w:left w:val="single" w:sz="4" w:space="0" w:color="000000"/>
              <w:bottom w:val="single" w:sz="4" w:space="0" w:color="000000"/>
              <w:right w:val="single" w:sz="4" w:space="0" w:color="000000"/>
            </w:tcBorders>
            <w:shd w:val="clear" w:color="auto" w:fill="FFE599"/>
            <w:tcMar>
              <w:top w:w="5" w:type="dxa"/>
              <w:left w:w="5" w:type="dxa"/>
              <w:bottom w:w="0" w:type="dxa"/>
              <w:right w:w="5" w:type="dxa"/>
            </w:tcMar>
            <w:textDirection w:val="btLr"/>
            <w:vAlign w:val="center"/>
            <w:hideMark/>
          </w:tcPr>
          <w:p w:rsidR="00D80B95" w:rsidRPr="00D80B95" w:rsidRDefault="00D80B95" w:rsidP="00D80B95">
            <w:pPr>
              <w:tabs>
                <w:tab w:val="left" w:pos="1640"/>
              </w:tabs>
              <w:spacing w:before="40" w:after="40" w:line="240" w:lineRule="auto"/>
              <w:ind w:left="113" w:right="113"/>
              <w:rPr>
                <w:rFonts w:ascii="Arial" w:eastAsia="DengXian" w:hAnsi="Arial" w:cs="Arial"/>
                <w:b/>
              </w:rPr>
            </w:pPr>
            <w:r w:rsidRPr="00D80B95">
              <w:rPr>
                <w:rFonts w:ascii="Arial" w:eastAsia="DengXian" w:hAnsi="Arial" w:cs="Arial"/>
                <w:b/>
              </w:rPr>
              <w:t>Exposure</w:t>
            </w:r>
          </w:p>
        </w:tc>
        <w:tc>
          <w:tcPr>
            <w:tcW w:w="2250" w:type="dxa"/>
            <w:tcBorders>
              <w:top w:val="single" w:sz="4" w:space="0" w:color="000000"/>
              <w:left w:val="single" w:sz="4" w:space="0" w:color="000000"/>
              <w:bottom w:val="single" w:sz="4" w:space="0" w:color="000000"/>
              <w:right w:val="single" w:sz="4" w:space="0" w:color="000000"/>
            </w:tcBorders>
            <w:shd w:val="clear" w:color="auto" w:fill="FFE599"/>
            <w:tcMar>
              <w:top w:w="5" w:type="dxa"/>
              <w:left w:w="5" w:type="dxa"/>
              <w:bottom w:w="0" w:type="dxa"/>
              <w:right w:w="5" w:type="dxa"/>
            </w:tcMar>
            <w:textDirection w:val="btLr"/>
            <w:vAlign w:val="center"/>
            <w:hideMark/>
          </w:tcPr>
          <w:p w:rsidR="00D80B95" w:rsidRPr="00D80B95" w:rsidRDefault="00D80B95" w:rsidP="00D80B95">
            <w:pPr>
              <w:tabs>
                <w:tab w:val="left" w:pos="1640"/>
              </w:tabs>
              <w:spacing w:before="40" w:after="40" w:line="240" w:lineRule="auto"/>
              <w:ind w:left="113" w:right="113"/>
              <w:rPr>
                <w:rFonts w:ascii="Arial" w:eastAsia="DengXian" w:hAnsi="Arial" w:cs="Arial"/>
                <w:b/>
              </w:rPr>
            </w:pPr>
            <w:r w:rsidRPr="00D80B95">
              <w:rPr>
                <w:rFonts w:ascii="Arial" w:eastAsia="DengXian" w:hAnsi="Arial" w:cs="Arial"/>
                <w:b/>
              </w:rPr>
              <w:t>Key Places Visited after Symptoms Onset/ Swab (for asymptomatic cases)</w:t>
            </w:r>
          </w:p>
        </w:tc>
        <w:tc>
          <w:tcPr>
            <w:tcW w:w="1260" w:type="dxa"/>
            <w:tcBorders>
              <w:top w:val="single" w:sz="4" w:space="0" w:color="000000"/>
              <w:left w:val="single" w:sz="4" w:space="0" w:color="000000"/>
              <w:bottom w:val="single" w:sz="4" w:space="0" w:color="000000"/>
              <w:right w:val="single" w:sz="4" w:space="0" w:color="000000"/>
            </w:tcBorders>
            <w:shd w:val="clear" w:color="auto" w:fill="FFE599"/>
            <w:tcMar>
              <w:top w:w="5" w:type="dxa"/>
              <w:left w:w="5" w:type="dxa"/>
              <w:bottom w:w="0" w:type="dxa"/>
              <w:right w:w="5" w:type="dxa"/>
            </w:tcMar>
            <w:textDirection w:val="btLr"/>
            <w:vAlign w:val="center"/>
            <w:hideMark/>
          </w:tcPr>
          <w:p w:rsidR="00D80B95" w:rsidRPr="00D80B95" w:rsidRDefault="00D80B95" w:rsidP="00D80B95">
            <w:pPr>
              <w:tabs>
                <w:tab w:val="left" w:pos="1640"/>
              </w:tabs>
              <w:spacing w:before="40" w:after="40" w:line="240" w:lineRule="auto"/>
              <w:ind w:left="113" w:right="113"/>
              <w:rPr>
                <w:rFonts w:ascii="Arial" w:eastAsia="DengXian" w:hAnsi="Arial" w:cs="Arial"/>
                <w:b/>
              </w:rPr>
            </w:pPr>
            <w:r w:rsidRPr="00D80B95">
              <w:rPr>
                <w:rFonts w:ascii="Arial" w:eastAsia="DengXian" w:hAnsi="Arial" w:cs="Arial"/>
                <w:b/>
              </w:rPr>
              <w:t>Links</w:t>
            </w:r>
          </w:p>
        </w:tc>
        <w:tc>
          <w:tcPr>
            <w:tcW w:w="1890" w:type="dxa"/>
            <w:tcBorders>
              <w:top w:val="single" w:sz="4" w:space="0" w:color="000000"/>
              <w:left w:val="single" w:sz="4" w:space="0" w:color="000000"/>
              <w:bottom w:val="single" w:sz="4" w:space="0" w:color="000000"/>
              <w:right w:val="single" w:sz="4" w:space="0" w:color="000000"/>
            </w:tcBorders>
            <w:shd w:val="clear" w:color="auto" w:fill="FFE599"/>
            <w:textDirection w:val="btLr"/>
            <w:vAlign w:val="center"/>
          </w:tcPr>
          <w:p w:rsidR="00D80B95" w:rsidRPr="00D80B95" w:rsidRDefault="00D80B95" w:rsidP="00D80B95">
            <w:pPr>
              <w:tabs>
                <w:tab w:val="left" w:pos="1640"/>
              </w:tabs>
              <w:spacing w:before="40" w:after="40" w:line="240" w:lineRule="auto"/>
              <w:ind w:left="113" w:right="113"/>
              <w:rPr>
                <w:rFonts w:ascii="Arial" w:eastAsia="DengXian" w:hAnsi="Arial" w:cs="Arial"/>
                <w:b/>
              </w:rPr>
            </w:pPr>
            <w:r w:rsidRPr="00D80B95">
              <w:rPr>
                <w:rFonts w:ascii="Arial" w:eastAsia="DengXian" w:hAnsi="Arial" w:cs="Arial"/>
                <w:b/>
              </w:rPr>
              <w:t>Cluster</w:t>
            </w:r>
          </w:p>
        </w:tc>
      </w:tr>
      <w:tr w:rsidR="00D80B95" w:rsidRPr="00D80B95" w:rsidTr="00E17A38">
        <w:trPr>
          <w:trHeight w:val="144"/>
        </w:trPr>
        <w:tc>
          <w:tcPr>
            <w:tcW w:w="265" w:type="dxa"/>
            <w:tcBorders>
              <w:top w:val="single" w:sz="4" w:space="0" w:color="000000"/>
              <w:left w:val="single" w:sz="4" w:space="0" w:color="000000"/>
              <w:bottom w:val="single" w:sz="4" w:space="0" w:color="000000"/>
              <w:right w:val="single" w:sz="4" w:space="0" w:color="000000"/>
            </w:tcBorders>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Calibri" w:hAnsi="Arial" w:cs="Arial"/>
                <w:bCs/>
                <w:color w:val="000000"/>
                <w:kern w:val="24"/>
                <w:lang w:val="en-US"/>
              </w:rPr>
              <w:t>42405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szCs w:val="20"/>
              </w:rPr>
            </w:pPr>
            <w:r w:rsidRPr="00D80B95">
              <w:rPr>
                <w:rFonts w:ascii="Arial" w:eastAsia="DengXian" w:hAnsi="Arial" w:cs="Arial"/>
                <w:color w:val="000000"/>
                <w:kern w:val="24"/>
                <w:szCs w:val="20"/>
              </w:rPr>
              <w:t>22 Jun</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sz w:val="20"/>
                <w:szCs w:val="20"/>
                <w:lang w:val="en-US"/>
              </w:rPr>
            </w:pPr>
            <w:r w:rsidRPr="00D80B95">
              <w:rPr>
                <w:rFonts w:ascii="Arial" w:eastAsia="DengXian" w:hAnsi="Arial" w:cs="Arial"/>
                <w:color w:val="000000"/>
                <w:kern w:val="24"/>
                <w:sz w:val="20"/>
                <w:szCs w:val="20"/>
                <w:lang w:val="en-US"/>
              </w:rPr>
              <w:t>Asymptomatic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52</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PRC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rPr>
                <w:rFonts w:ascii="Arial" w:eastAsia="DengXian" w:hAnsi="Arial" w:cs="Arial"/>
                <w:color w:val="000000"/>
                <w:kern w:val="24"/>
                <w:lang w:val="en-US"/>
              </w:rPr>
            </w:pPr>
            <w:r w:rsidRPr="00D80B95">
              <w:rPr>
                <w:rFonts w:ascii="Arial" w:eastAsia="DengXian" w:hAnsi="Arial" w:cs="Arial"/>
                <w:color w:val="000000"/>
                <w:kern w:val="24"/>
                <w:lang w:val="en-US"/>
              </w:rPr>
              <w:t>Local unlinked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both"/>
              <w:rPr>
                <w:rFonts w:ascii="Arial" w:eastAsia="Times New Roman" w:hAnsi="Arial" w:cs="Arial"/>
                <w:color w:val="7030A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textAlignment w:val="bottom"/>
              <w:rPr>
                <w:rFonts w:ascii="Arial" w:eastAsia="Times New Roman"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B95" w:rsidRPr="00D80B95" w:rsidRDefault="00D80B95" w:rsidP="00D80B95">
            <w:pPr>
              <w:spacing w:before="40" w:after="40" w:line="240" w:lineRule="auto"/>
              <w:ind w:left="72" w:right="72"/>
              <w:rPr>
                <w:rFonts w:ascii="Arial" w:eastAsia="DengXian" w:hAnsi="Arial" w:cs="Arial"/>
                <w:bCs/>
                <w:kern w:val="24"/>
              </w:rPr>
            </w:pPr>
          </w:p>
        </w:tc>
      </w:tr>
      <w:tr w:rsidR="00D80B95" w:rsidRPr="00D80B95" w:rsidTr="00E17A38">
        <w:trPr>
          <w:trHeight w:val="144"/>
        </w:trPr>
        <w:tc>
          <w:tcPr>
            <w:tcW w:w="265" w:type="dxa"/>
            <w:tcBorders>
              <w:top w:val="single" w:sz="4" w:space="0" w:color="000000"/>
              <w:left w:val="single" w:sz="4" w:space="0" w:color="000000"/>
              <w:bottom w:val="single" w:sz="4" w:space="0" w:color="000000"/>
              <w:right w:val="single" w:sz="4" w:space="0" w:color="000000"/>
            </w:tcBorders>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Calibri" w:hAnsi="Arial" w:cs="Arial"/>
                <w:color w:val="000000"/>
                <w:kern w:val="24"/>
                <w:lang w:val="en-US"/>
              </w:rPr>
              <w:t>42438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szCs w:val="20"/>
              </w:rPr>
            </w:pPr>
            <w:r w:rsidRPr="00D80B95">
              <w:rPr>
                <w:rFonts w:ascii="Arial" w:eastAsia="DengXian" w:hAnsi="Arial" w:cs="Arial"/>
                <w:color w:val="000000"/>
                <w:kern w:val="24"/>
                <w:szCs w:val="20"/>
              </w:rPr>
              <w:t>22 Jun</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sz w:val="20"/>
                <w:szCs w:val="20"/>
                <w:lang w:val="en-US"/>
              </w:rPr>
            </w:pPr>
            <w:r w:rsidRPr="00D80B95">
              <w:rPr>
                <w:rFonts w:ascii="Arial" w:eastAsia="DengXian" w:hAnsi="Arial" w:cs="Arial"/>
                <w:color w:val="000000"/>
                <w:kern w:val="24"/>
                <w:sz w:val="20"/>
                <w:szCs w:val="20"/>
                <w:lang w:val="en-US"/>
              </w:rPr>
              <w:t>Asymptomatic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36</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sz w:val="20"/>
                <w:lang w:val="en-US"/>
              </w:rPr>
              <w:t>Philippines</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rPr>
                <w:rFonts w:ascii="Arial" w:eastAsia="DengXian" w:hAnsi="Arial" w:cs="Arial"/>
                <w:color w:val="000000"/>
                <w:kern w:val="24"/>
                <w:lang w:val="en-US"/>
              </w:rPr>
            </w:pPr>
            <w:r w:rsidRPr="00D80B95">
              <w:rPr>
                <w:rFonts w:ascii="Arial" w:eastAsia="DengXian" w:hAnsi="Arial" w:cs="Arial"/>
                <w:color w:val="000000"/>
                <w:kern w:val="24"/>
                <w:lang w:val="en-US"/>
              </w:rPr>
              <w:t>Local unlinked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both"/>
              <w:rPr>
                <w:rFonts w:ascii="Arial" w:eastAsia="Times New Roman" w:hAnsi="Arial" w:cs="Arial"/>
                <w:color w:val="7030A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textAlignment w:val="bottom"/>
              <w:rPr>
                <w:rFonts w:ascii="Arial" w:eastAsia="Times New Roman"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B95" w:rsidRPr="00D80B95" w:rsidRDefault="00D80B95" w:rsidP="00D80B95">
            <w:pPr>
              <w:spacing w:before="40" w:after="40" w:line="240" w:lineRule="auto"/>
              <w:ind w:left="72" w:right="72"/>
              <w:rPr>
                <w:rFonts w:ascii="Arial" w:eastAsia="DengXian" w:hAnsi="Arial" w:cs="Arial"/>
                <w:bCs/>
                <w:kern w:val="24"/>
              </w:rPr>
            </w:pPr>
          </w:p>
        </w:tc>
      </w:tr>
      <w:tr w:rsidR="00D80B95" w:rsidRPr="00D80B95" w:rsidTr="00E17A38">
        <w:trPr>
          <w:trHeight w:val="144"/>
        </w:trPr>
        <w:tc>
          <w:tcPr>
            <w:tcW w:w="265" w:type="dxa"/>
            <w:tcBorders>
              <w:top w:val="single" w:sz="4" w:space="0" w:color="000000"/>
              <w:left w:val="single" w:sz="4" w:space="0" w:color="000000"/>
              <w:bottom w:val="single" w:sz="4" w:space="0" w:color="000000"/>
              <w:right w:val="single" w:sz="4" w:space="0" w:color="000000"/>
            </w:tcBorders>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42462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szCs w:val="20"/>
              </w:rPr>
            </w:pPr>
            <w:r w:rsidRPr="00D80B95">
              <w:rPr>
                <w:rFonts w:ascii="Arial" w:eastAsia="DengXian" w:hAnsi="Arial" w:cs="Arial"/>
                <w:color w:val="000000"/>
                <w:kern w:val="24"/>
                <w:szCs w:val="20"/>
              </w:rPr>
              <w:t>23 Jun</w:t>
            </w:r>
          </w:p>
          <w:p w:rsidR="00D80B95" w:rsidRPr="00D80B95" w:rsidRDefault="00D80B95" w:rsidP="00D80B95">
            <w:pPr>
              <w:spacing w:before="40" w:after="40" w:line="240" w:lineRule="auto"/>
              <w:ind w:left="72" w:right="72"/>
              <w:jc w:val="center"/>
              <w:rPr>
                <w:rFonts w:ascii="Arial" w:eastAsia="DengXian" w:hAnsi="Arial" w:cs="Arial"/>
                <w:color w:val="000000"/>
                <w:kern w:val="24"/>
                <w:szCs w:val="20"/>
              </w:rPr>
            </w:pPr>
            <w:r w:rsidRPr="00D80B95">
              <w:rPr>
                <w:rFonts w:ascii="Arial" w:eastAsia="DengXian" w:hAnsi="Arial" w:cs="Arial"/>
                <w:color w:val="000000"/>
                <w:kern w:val="24"/>
                <w:sz w:val="20"/>
                <w:szCs w:val="20"/>
              </w:rPr>
              <w:t xml:space="preserve">(Serology Positive)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sz w:val="20"/>
                <w:szCs w:val="20"/>
              </w:rPr>
            </w:pPr>
            <w:r w:rsidRPr="00D80B95">
              <w:rPr>
                <w:rFonts w:ascii="Arial" w:eastAsia="DengXian" w:hAnsi="Arial" w:cs="Arial"/>
                <w:color w:val="000000"/>
                <w:kern w:val="24"/>
                <w:sz w:val="20"/>
                <w:szCs w:val="20"/>
                <w:lang w:val="en-US"/>
              </w:rPr>
              <w:t>Asymptomatic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53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color w:val="000000"/>
                <w:kern w:val="24"/>
                <w:lang w:val="en-US"/>
              </w:rPr>
            </w:pPr>
            <w:r w:rsidRPr="00D80B95">
              <w:rPr>
                <w:rFonts w:ascii="Arial" w:eastAsia="DengXian" w:hAnsi="Arial" w:cs="Arial"/>
                <w:color w:val="000000"/>
                <w:kern w:val="24"/>
                <w:lang w:val="en-US"/>
              </w:rPr>
              <w:t>PR</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center"/>
              <w:rPr>
                <w:rFonts w:ascii="Arial" w:eastAsia="DengXian"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rPr>
                <w:rFonts w:ascii="Arial" w:eastAsia="DengXian" w:hAnsi="Arial" w:cs="Arial"/>
                <w:color w:val="000000"/>
                <w:kern w:val="24"/>
                <w:lang w:val="en-US"/>
              </w:rPr>
            </w:pPr>
            <w:r w:rsidRPr="00D80B95">
              <w:rPr>
                <w:rFonts w:ascii="Arial" w:eastAsia="DengXian" w:hAnsi="Arial" w:cs="Arial"/>
                <w:color w:val="000000"/>
                <w:kern w:val="24"/>
                <w:lang w:val="en-US"/>
              </w:rPr>
              <w:t>Local unlinked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right="72"/>
              <w:jc w:val="both"/>
              <w:rPr>
                <w:rFonts w:ascii="Arial" w:eastAsia="Times New Roman" w:hAnsi="Arial" w:cs="Arial"/>
                <w:color w:val="7030A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rsidR="00D80B95" w:rsidRPr="00D80B95" w:rsidRDefault="00D80B95" w:rsidP="00D80B95">
            <w:pPr>
              <w:spacing w:before="40" w:after="40" w:line="240" w:lineRule="auto"/>
              <w:ind w:left="72"/>
              <w:textAlignment w:val="bottom"/>
              <w:rPr>
                <w:rFonts w:ascii="Arial" w:eastAsia="Times New Roman"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B95" w:rsidRPr="00D80B95" w:rsidRDefault="00D80B95" w:rsidP="00D80B95">
            <w:pPr>
              <w:spacing w:before="40" w:after="40" w:line="240" w:lineRule="auto"/>
              <w:ind w:left="72" w:right="72"/>
              <w:rPr>
                <w:rFonts w:ascii="Arial" w:eastAsia="DengXian" w:hAnsi="Arial" w:cs="Arial"/>
                <w:bCs/>
                <w:kern w:val="24"/>
              </w:rPr>
            </w:pPr>
          </w:p>
        </w:tc>
      </w:tr>
    </w:tbl>
    <w:bookmarkEnd w:id="0"/>
    <w:p w:rsidR="00D80B95" w:rsidRPr="00D80B95" w:rsidRDefault="00D80B95" w:rsidP="00D80B95">
      <w:pPr>
        <w:spacing w:before="120" w:after="120"/>
        <w:jc w:val="both"/>
        <w:rPr>
          <w:rFonts w:ascii="Arial" w:eastAsia="DengXian" w:hAnsi="Arial" w:cs="Arial"/>
          <w:sz w:val="20"/>
          <w:lang w:val="en-US"/>
        </w:rPr>
      </w:pPr>
      <w:r w:rsidRPr="00D80B95">
        <w:rPr>
          <w:rFonts w:ascii="Arial" w:eastAsia="DengXian" w:hAnsi="Arial" w:cs="Arial"/>
          <w:sz w:val="20"/>
          <w:szCs w:val="20"/>
        </w:rPr>
        <w:t xml:space="preserve">* Cases marked (*) were picked up as a result of proactive screening and surveillance. Cases </w:t>
      </w:r>
      <w:r w:rsidRPr="00D80B95">
        <w:rPr>
          <w:rFonts w:ascii="Arial" w:eastAsia="Calibri" w:hAnsi="Arial" w:cs="Arial"/>
          <w:bCs/>
          <w:color w:val="000000"/>
          <w:kern w:val="24"/>
          <w:sz w:val="20"/>
          <w:szCs w:val="20"/>
          <w:lang w:val="en-US"/>
        </w:rPr>
        <w:t xml:space="preserve">42405 and </w:t>
      </w:r>
      <w:r w:rsidRPr="00D80B95">
        <w:rPr>
          <w:rFonts w:ascii="Arial" w:eastAsia="Calibri" w:hAnsi="Arial" w:cs="Arial"/>
          <w:color w:val="000000"/>
          <w:kern w:val="24"/>
          <w:sz w:val="20"/>
          <w:szCs w:val="20"/>
          <w:lang w:val="en-US"/>
        </w:rPr>
        <w:t>42438 were</w:t>
      </w:r>
      <w:r w:rsidRPr="00D80B95">
        <w:rPr>
          <w:rFonts w:ascii="Arial" w:eastAsia="DengXian" w:hAnsi="Arial" w:cs="Arial"/>
          <w:sz w:val="20"/>
          <w:szCs w:val="20"/>
        </w:rPr>
        <w:t xml:space="preserve"> tested as they work in essential services</w:t>
      </w:r>
      <w:r w:rsidRPr="00D80B95">
        <w:rPr>
          <w:rFonts w:ascii="Arial" w:eastAsia="DengXian" w:hAnsi="Arial" w:cs="Arial"/>
          <w:sz w:val="20"/>
          <w:szCs w:val="20"/>
          <w:lang w:val="en-US"/>
        </w:rPr>
        <w:t>.</w:t>
      </w:r>
      <w:r w:rsidRPr="00D80B95">
        <w:rPr>
          <w:rFonts w:ascii="Arial" w:eastAsia="DengXian" w:hAnsi="Arial" w:cs="Arial"/>
          <w:sz w:val="20"/>
          <w:lang w:val="en-US"/>
        </w:rPr>
        <w:t xml:space="preserve"> Case 42462 was swabbed as he works at a dormitory. </w:t>
      </w:r>
    </w:p>
    <w:p w:rsidR="00D80B95" w:rsidRPr="00D80B95" w:rsidRDefault="00D80B95" w:rsidP="00D80B95">
      <w:pPr>
        <w:spacing w:before="120" w:after="120"/>
        <w:jc w:val="both"/>
        <w:rPr>
          <w:rFonts w:ascii="Arial" w:eastAsia="DengXian" w:hAnsi="Arial" w:cs="Arial"/>
          <w:sz w:val="20"/>
          <w:lang w:val="en-US"/>
        </w:rPr>
      </w:pPr>
      <w:r w:rsidRPr="00D80B95">
        <w:rPr>
          <w:rFonts w:ascii="Arial" w:eastAsia="DengXian" w:hAnsi="Arial" w:cs="Arial"/>
          <w:sz w:val="20"/>
          <w:lang w:val="en-US"/>
        </w:rPr>
        <w:t xml:space="preserve">  </w:t>
      </w:r>
    </w:p>
    <w:p w:rsidR="00D80B95" w:rsidRPr="00D80B95" w:rsidRDefault="00D80B95" w:rsidP="00D80B95">
      <w:pPr>
        <w:spacing w:before="120" w:after="120"/>
        <w:jc w:val="both"/>
        <w:rPr>
          <w:rFonts w:ascii="Arial" w:eastAsia="DengXian" w:hAnsi="Arial" w:cs="Arial"/>
          <w:sz w:val="20"/>
          <w:lang w:val="en-US"/>
        </w:rPr>
        <w:sectPr w:rsidR="00D80B95" w:rsidRPr="00D80B95" w:rsidSect="00923C9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6" w:footer="706" w:gutter="0"/>
          <w:cols w:space="708"/>
          <w:titlePg/>
          <w:docGrid w:linePitch="360"/>
        </w:sectPr>
      </w:pPr>
    </w:p>
    <w:p w:rsidR="00D80B95" w:rsidRPr="00D80B95" w:rsidRDefault="00D80B95" w:rsidP="00D80B95">
      <w:pPr>
        <w:spacing w:after="0" w:line="240" w:lineRule="auto"/>
        <w:jc w:val="right"/>
        <w:rPr>
          <w:rFonts w:ascii="Arial" w:eastAsia="DengXian" w:hAnsi="Arial" w:cs="Arial"/>
          <w:sz w:val="24"/>
          <w:szCs w:val="20"/>
          <w:u w:val="single"/>
        </w:rPr>
      </w:pPr>
      <w:r w:rsidRPr="00D80B95">
        <w:rPr>
          <w:rFonts w:ascii="Arial" w:eastAsia="DengXian" w:hAnsi="Arial" w:cs="Arial"/>
          <w:sz w:val="24"/>
          <w:szCs w:val="20"/>
          <w:u w:val="single"/>
        </w:rPr>
        <w:lastRenderedPageBreak/>
        <w:t>Annex C2</w:t>
      </w:r>
    </w:p>
    <w:p w:rsidR="00D80B95" w:rsidRPr="00D80B95" w:rsidRDefault="00D80B95" w:rsidP="00D80B95">
      <w:pPr>
        <w:spacing w:after="0" w:line="240" w:lineRule="auto"/>
        <w:jc w:val="right"/>
        <w:rPr>
          <w:rFonts w:ascii="Arial" w:eastAsia="DengXian" w:hAnsi="Arial" w:cs="Arial"/>
          <w:sz w:val="24"/>
          <w:szCs w:val="20"/>
          <w:u w:val="single"/>
        </w:rPr>
      </w:pPr>
    </w:p>
    <w:p w:rsidR="00D80B95" w:rsidRPr="00D80B95" w:rsidRDefault="00D80B95" w:rsidP="00D80B95">
      <w:pPr>
        <w:spacing w:after="0" w:line="240" w:lineRule="auto"/>
        <w:jc w:val="center"/>
        <w:rPr>
          <w:rFonts w:ascii="Arial" w:eastAsia="DengXian" w:hAnsi="Arial" w:cs="Arial"/>
          <w:b/>
          <w:sz w:val="24"/>
          <w:szCs w:val="20"/>
        </w:rPr>
      </w:pPr>
      <w:r w:rsidRPr="00D80B95">
        <w:rPr>
          <w:rFonts w:ascii="Arial" w:eastAsia="DengXian" w:hAnsi="Arial" w:cs="Arial"/>
          <w:b/>
          <w:sz w:val="24"/>
          <w:szCs w:val="20"/>
        </w:rPr>
        <w:t>Public Places Visited by Cases in the Community during Infectious Period</w:t>
      </w:r>
      <w:r w:rsidRPr="00D80B95">
        <w:rPr>
          <w:rFonts w:ascii="Arial" w:eastAsia="DengXian" w:hAnsi="Arial" w:cs="Arial"/>
          <w:b/>
          <w:sz w:val="24"/>
          <w:szCs w:val="20"/>
          <w:vertAlign w:val="superscript"/>
        </w:rPr>
        <w:footnoteReference w:id="1"/>
      </w:r>
    </w:p>
    <w:p w:rsidR="00D80B95" w:rsidRPr="00D80B95" w:rsidRDefault="00D80B95" w:rsidP="00D80B95">
      <w:pPr>
        <w:spacing w:after="0" w:line="240" w:lineRule="auto"/>
        <w:jc w:val="both"/>
        <w:rPr>
          <w:rFonts w:ascii="Arial" w:eastAsia="DengXian" w:hAnsi="Arial" w:cs="Arial"/>
          <w:szCs w:val="20"/>
        </w:rPr>
      </w:pPr>
    </w:p>
    <w:tbl>
      <w:tblPr>
        <w:tblStyle w:val="TableGrid"/>
        <w:tblW w:w="0" w:type="auto"/>
        <w:tblInd w:w="0" w:type="dxa"/>
        <w:tblCellMar>
          <w:top w:w="72" w:type="dxa"/>
          <w:left w:w="115" w:type="dxa"/>
          <w:bottom w:w="72" w:type="dxa"/>
          <w:right w:w="115" w:type="dxa"/>
        </w:tblCellMar>
        <w:tblLook w:val="04A0" w:firstRow="1" w:lastRow="0" w:firstColumn="1" w:lastColumn="0" w:noHBand="0" w:noVBand="1"/>
      </w:tblPr>
      <w:tblGrid>
        <w:gridCol w:w="1165"/>
        <w:gridCol w:w="1980"/>
        <w:gridCol w:w="5870"/>
      </w:tblGrid>
      <w:tr w:rsidR="00D80B95" w:rsidRPr="00D80B95" w:rsidTr="00D80B95">
        <w:tc>
          <w:tcPr>
            <w:tcW w:w="1165" w:type="dxa"/>
            <w:shd w:val="clear" w:color="auto" w:fill="FFE599"/>
          </w:tcPr>
          <w:p w:rsidR="00D80B95" w:rsidRPr="00D80B95" w:rsidRDefault="00D80B95" w:rsidP="00D80B95">
            <w:pPr>
              <w:jc w:val="center"/>
              <w:rPr>
                <w:rFonts w:ascii="Arial" w:hAnsi="Arial" w:cs="Arial"/>
                <w:b/>
                <w:lang w:val="en-US"/>
              </w:rPr>
            </w:pPr>
            <w:bookmarkStart w:id="1" w:name="OLE_LINK17"/>
            <w:r w:rsidRPr="00D80B95">
              <w:rPr>
                <w:rFonts w:ascii="Arial" w:hAnsi="Arial" w:cs="Arial"/>
                <w:b/>
                <w:lang w:val="en-US"/>
              </w:rPr>
              <w:t>Date</w:t>
            </w:r>
          </w:p>
        </w:tc>
        <w:tc>
          <w:tcPr>
            <w:tcW w:w="1980" w:type="dxa"/>
            <w:shd w:val="clear" w:color="auto" w:fill="FFE599"/>
          </w:tcPr>
          <w:p w:rsidR="00D80B95" w:rsidRPr="00D80B95" w:rsidRDefault="00D80B95" w:rsidP="00D80B95">
            <w:pPr>
              <w:jc w:val="center"/>
              <w:rPr>
                <w:rFonts w:ascii="Arial" w:hAnsi="Arial" w:cs="Arial"/>
                <w:b/>
                <w:lang w:val="en-US"/>
              </w:rPr>
            </w:pPr>
            <w:r w:rsidRPr="00D80B95">
              <w:rPr>
                <w:rFonts w:ascii="Arial" w:hAnsi="Arial" w:cs="Arial"/>
                <w:b/>
                <w:lang w:val="en-US"/>
              </w:rPr>
              <w:t>Time</w:t>
            </w:r>
          </w:p>
        </w:tc>
        <w:tc>
          <w:tcPr>
            <w:tcW w:w="5870" w:type="dxa"/>
            <w:shd w:val="clear" w:color="auto" w:fill="FFE599"/>
          </w:tcPr>
          <w:p w:rsidR="00D80B95" w:rsidRPr="00D80B95" w:rsidRDefault="00D80B95" w:rsidP="00D80B95">
            <w:pPr>
              <w:jc w:val="center"/>
              <w:rPr>
                <w:rFonts w:ascii="Arial" w:hAnsi="Arial" w:cs="Arial"/>
                <w:b/>
                <w:lang w:val="en-US"/>
              </w:rPr>
            </w:pPr>
            <w:r w:rsidRPr="00D80B95">
              <w:rPr>
                <w:rFonts w:ascii="Arial" w:hAnsi="Arial" w:cs="Arial"/>
                <w:b/>
                <w:lang w:val="en-US"/>
              </w:rPr>
              <w:t>Location (Address)</w:t>
            </w:r>
          </w:p>
        </w:tc>
      </w:tr>
      <w:tr w:rsidR="00D80B95" w:rsidRPr="00D80B95" w:rsidTr="00E17A38">
        <w:tc>
          <w:tcPr>
            <w:tcW w:w="1165" w:type="dxa"/>
          </w:tcPr>
          <w:p w:rsidR="00D80B95" w:rsidRPr="00D80B95" w:rsidRDefault="00D80B95" w:rsidP="00D80B95">
            <w:pPr>
              <w:jc w:val="center"/>
              <w:rPr>
                <w:rFonts w:ascii="Arial" w:eastAsia="DengXian" w:hAnsi="Arial" w:cs="Arial"/>
                <w:kern w:val="24"/>
                <w:szCs w:val="28"/>
              </w:rPr>
            </w:pPr>
            <w:r w:rsidRPr="00D80B95">
              <w:rPr>
                <w:rFonts w:ascii="Arial" w:eastAsia="DengXian" w:hAnsi="Arial" w:cs="Arial"/>
                <w:kern w:val="24"/>
                <w:szCs w:val="28"/>
              </w:rPr>
              <w:t>9 Jun</w:t>
            </w:r>
          </w:p>
        </w:tc>
        <w:tc>
          <w:tcPr>
            <w:tcW w:w="1980" w:type="dxa"/>
          </w:tcPr>
          <w:p w:rsidR="00D80B95" w:rsidRPr="00D80B95" w:rsidRDefault="00D80B95" w:rsidP="00D80B95">
            <w:pPr>
              <w:jc w:val="center"/>
              <w:rPr>
                <w:rFonts w:ascii="Arial" w:eastAsia="DengXian" w:hAnsi="Arial" w:cs="Arial"/>
                <w:kern w:val="24"/>
                <w:szCs w:val="28"/>
              </w:rPr>
            </w:pPr>
            <w:r w:rsidRPr="00D80B95">
              <w:rPr>
                <w:rFonts w:ascii="Arial" w:eastAsia="DengXian" w:hAnsi="Arial" w:cs="Arial"/>
                <w:kern w:val="24"/>
                <w:szCs w:val="28"/>
              </w:rPr>
              <w:t>0750h to 0820h</w:t>
            </w:r>
          </w:p>
        </w:tc>
        <w:tc>
          <w:tcPr>
            <w:tcW w:w="5870" w:type="dxa"/>
          </w:tcPr>
          <w:p w:rsidR="00D80B95" w:rsidRPr="00D80B95" w:rsidRDefault="00D80B95" w:rsidP="00D80B95">
            <w:pPr>
              <w:spacing w:line="256" w:lineRule="auto"/>
              <w:textAlignment w:val="center"/>
              <w:rPr>
                <w:rFonts w:ascii="Arial" w:eastAsia="DengXian" w:hAnsi="Arial" w:cs="Arial"/>
                <w:kern w:val="24"/>
                <w:szCs w:val="28"/>
              </w:rPr>
            </w:pPr>
            <w:r w:rsidRPr="00D80B95">
              <w:rPr>
                <w:rFonts w:ascii="Arial" w:eastAsia="DengXian" w:hAnsi="Arial" w:cs="Arial"/>
                <w:kern w:val="24"/>
                <w:szCs w:val="28"/>
              </w:rPr>
              <w:t>Sheng Siong Supermarket (7 Jurong West Avenue 5)</w:t>
            </w:r>
          </w:p>
        </w:tc>
      </w:tr>
      <w:tr w:rsidR="00D80B95" w:rsidRPr="00D80B95" w:rsidTr="00E17A38">
        <w:tc>
          <w:tcPr>
            <w:tcW w:w="1165" w:type="dxa"/>
          </w:tcPr>
          <w:p w:rsidR="00D80B95" w:rsidRPr="00D80B95" w:rsidRDefault="00D80B95" w:rsidP="00D80B95">
            <w:pPr>
              <w:jc w:val="center"/>
              <w:rPr>
                <w:rFonts w:ascii="Arial" w:eastAsia="DengXian" w:hAnsi="Arial" w:cs="Arial"/>
                <w:kern w:val="24"/>
              </w:rPr>
            </w:pPr>
            <w:r w:rsidRPr="00D80B95">
              <w:rPr>
                <w:rFonts w:ascii="Arial" w:eastAsia="DengXian" w:hAnsi="Arial" w:cs="Arial"/>
                <w:kern w:val="24"/>
                <w:szCs w:val="28"/>
              </w:rPr>
              <w:t>9 Jun</w:t>
            </w:r>
          </w:p>
        </w:tc>
        <w:tc>
          <w:tcPr>
            <w:tcW w:w="1980" w:type="dxa"/>
          </w:tcPr>
          <w:p w:rsidR="00D80B95" w:rsidRPr="00D80B95" w:rsidRDefault="00D80B95" w:rsidP="00D80B95">
            <w:pPr>
              <w:jc w:val="center"/>
              <w:rPr>
                <w:rFonts w:ascii="Arial" w:eastAsia="DengXian" w:hAnsi="Arial" w:cs="Arial"/>
                <w:kern w:val="24"/>
                <w:lang w:val="en-US"/>
              </w:rPr>
            </w:pPr>
            <w:r w:rsidRPr="00D80B95">
              <w:rPr>
                <w:rFonts w:ascii="Arial" w:eastAsia="DengXian" w:hAnsi="Arial" w:cs="Arial"/>
                <w:kern w:val="24"/>
                <w:szCs w:val="28"/>
              </w:rPr>
              <w:t>1950h to 2035h</w:t>
            </w:r>
          </w:p>
        </w:tc>
        <w:tc>
          <w:tcPr>
            <w:tcW w:w="5870" w:type="dxa"/>
          </w:tcPr>
          <w:p w:rsidR="00D80B95" w:rsidRPr="00D80B95" w:rsidRDefault="00D80B95" w:rsidP="00D80B95">
            <w:pPr>
              <w:spacing w:line="256" w:lineRule="auto"/>
              <w:textAlignment w:val="center"/>
              <w:rPr>
                <w:rFonts w:ascii="Arial" w:eastAsia="DengXian" w:hAnsi="Arial" w:cs="Arial"/>
                <w:kern w:val="24"/>
                <w:lang w:val="en-US"/>
              </w:rPr>
            </w:pPr>
            <w:r w:rsidRPr="00D80B95">
              <w:rPr>
                <w:rFonts w:ascii="Arial" w:eastAsia="DengXian" w:hAnsi="Arial" w:cs="Arial"/>
                <w:kern w:val="24"/>
                <w:szCs w:val="28"/>
              </w:rPr>
              <w:t>Mustafa Centre (145 Syed Alwi Road)</w:t>
            </w:r>
          </w:p>
        </w:tc>
      </w:tr>
      <w:tr w:rsidR="00D80B95" w:rsidRPr="00D80B95" w:rsidTr="00E17A38">
        <w:tc>
          <w:tcPr>
            <w:tcW w:w="1165" w:type="dxa"/>
            <w:vAlign w:val="center"/>
          </w:tcPr>
          <w:p w:rsidR="00D80B95" w:rsidRPr="00D80B95" w:rsidRDefault="00D80B95" w:rsidP="00D80B95">
            <w:pPr>
              <w:jc w:val="center"/>
              <w:rPr>
                <w:rFonts w:ascii="Arial" w:eastAsia="DengXian" w:hAnsi="Arial" w:cs="Arial"/>
                <w:kern w:val="24"/>
              </w:rPr>
            </w:pPr>
            <w:r w:rsidRPr="00D80B95">
              <w:rPr>
                <w:rFonts w:ascii="Arial" w:hAnsi="Arial" w:cs="Arial"/>
                <w:kern w:val="24"/>
              </w:rPr>
              <w:t>9 Jun</w:t>
            </w:r>
          </w:p>
        </w:tc>
        <w:tc>
          <w:tcPr>
            <w:tcW w:w="1980" w:type="dxa"/>
            <w:vAlign w:val="center"/>
          </w:tcPr>
          <w:p w:rsidR="00D80B95" w:rsidRPr="00D80B95" w:rsidRDefault="00D80B95" w:rsidP="00D80B95">
            <w:pPr>
              <w:jc w:val="center"/>
              <w:rPr>
                <w:rFonts w:ascii="Arial" w:eastAsia="DengXian" w:hAnsi="Arial" w:cs="Arial"/>
                <w:kern w:val="24"/>
              </w:rPr>
            </w:pPr>
            <w:r w:rsidRPr="00D80B95">
              <w:rPr>
                <w:rFonts w:ascii="Arial" w:hAnsi="Arial" w:cs="Arial"/>
                <w:kern w:val="24"/>
              </w:rPr>
              <w:t>2015h to 2045h</w:t>
            </w:r>
          </w:p>
        </w:tc>
        <w:tc>
          <w:tcPr>
            <w:tcW w:w="5870" w:type="dxa"/>
            <w:vAlign w:val="center"/>
          </w:tcPr>
          <w:p w:rsidR="00D80B95" w:rsidRPr="00D80B95" w:rsidRDefault="00D80B95" w:rsidP="00D80B95">
            <w:pPr>
              <w:spacing w:line="256" w:lineRule="auto"/>
              <w:textAlignment w:val="center"/>
              <w:rPr>
                <w:rFonts w:ascii="Arial" w:eastAsia="DengXian" w:hAnsi="Arial" w:cs="Arial"/>
                <w:kern w:val="24"/>
              </w:rPr>
            </w:pPr>
            <w:r w:rsidRPr="00D80B95">
              <w:rPr>
                <w:rFonts w:ascii="Arial" w:hAnsi="Arial" w:cs="Arial"/>
                <w:kern w:val="24"/>
              </w:rPr>
              <w:t>NTUC FairPrice (20 Lengkok Bahru)</w:t>
            </w:r>
          </w:p>
        </w:tc>
      </w:tr>
      <w:tr w:rsidR="00D80B95" w:rsidRPr="00D80B95" w:rsidTr="00E17A38">
        <w:tc>
          <w:tcPr>
            <w:tcW w:w="1165" w:type="dxa"/>
            <w:vAlign w:val="center"/>
          </w:tcPr>
          <w:p w:rsidR="00D80B95" w:rsidRPr="00D80B95" w:rsidRDefault="00D80B95" w:rsidP="00D80B95">
            <w:pPr>
              <w:jc w:val="center"/>
              <w:rPr>
                <w:rFonts w:ascii="Arial" w:eastAsia="DengXian" w:hAnsi="Arial" w:cs="Arial"/>
                <w:kern w:val="24"/>
              </w:rPr>
            </w:pPr>
            <w:r w:rsidRPr="00D80B95">
              <w:rPr>
                <w:rFonts w:ascii="Arial" w:hAnsi="Arial" w:cs="Arial"/>
                <w:kern w:val="24"/>
              </w:rPr>
              <w:t>10 Jun</w:t>
            </w:r>
          </w:p>
        </w:tc>
        <w:tc>
          <w:tcPr>
            <w:tcW w:w="1980" w:type="dxa"/>
            <w:vAlign w:val="center"/>
          </w:tcPr>
          <w:p w:rsidR="00D80B95" w:rsidRPr="00D80B95" w:rsidRDefault="00D80B95" w:rsidP="00D80B95">
            <w:pPr>
              <w:jc w:val="center"/>
              <w:rPr>
                <w:rFonts w:ascii="Arial" w:eastAsia="DengXian" w:hAnsi="Arial" w:cs="Arial"/>
                <w:kern w:val="24"/>
              </w:rPr>
            </w:pPr>
            <w:r w:rsidRPr="00D80B95">
              <w:rPr>
                <w:rFonts w:ascii="Arial" w:hAnsi="Arial" w:cs="Arial"/>
                <w:kern w:val="24"/>
                <w:lang w:val="en-US"/>
              </w:rPr>
              <w:t>1100h to 1130h</w:t>
            </w:r>
          </w:p>
        </w:tc>
        <w:tc>
          <w:tcPr>
            <w:tcW w:w="5870" w:type="dxa"/>
            <w:vAlign w:val="center"/>
          </w:tcPr>
          <w:p w:rsidR="00D80B95" w:rsidRPr="00D80B95" w:rsidRDefault="00D80B95" w:rsidP="00D80B95">
            <w:pPr>
              <w:spacing w:line="256" w:lineRule="auto"/>
              <w:textAlignment w:val="center"/>
              <w:rPr>
                <w:rFonts w:ascii="Arial" w:eastAsia="DengXian" w:hAnsi="Arial" w:cs="Arial"/>
                <w:kern w:val="24"/>
              </w:rPr>
            </w:pPr>
            <w:r w:rsidRPr="00D80B95">
              <w:rPr>
                <w:rFonts w:ascii="Arial" w:hAnsi="Arial" w:cs="Arial"/>
                <w:kern w:val="24"/>
              </w:rPr>
              <w:t>Boon Lay Shopping Centre (221 Boon Lay Place)</w:t>
            </w:r>
          </w:p>
        </w:tc>
      </w:tr>
      <w:tr w:rsidR="00D80B95" w:rsidRPr="00D80B95" w:rsidTr="00E17A38">
        <w:tc>
          <w:tcPr>
            <w:tcW w:w="1165" w:type="dxa"/>
            <w:vAlign w:val="center"/>
          </w:tcPr>
          <w:p w:rsidR="00D80B95" w:rsidRPr="00D80B95" w:rsidRDefault="00D80B95" w:rsidP="00D80B95">
            <w:pPr>
              <w:jc w:val="center"/>
              <w:rPr>
                <w:rFonts w:ascii="Arial" w:hAnsi="Arial" w:cs="Arial"/>
                <w:kern w:val="24"/>
              </w:rPr>
            </w:pPr>
            <w:r w:rsidRPr="00D80B95">
              <w:rPr>
                <w:rFonts w:ascii="Arial" w:hAnsi="Arial" w:cs="Arial"/>
                <w:kern w:val="24"/>
              </w:rPr>
              <w:t>10 Jun</w:t>
            </w:r>
          </w:p>
        </w:tc>
        <w:tc>
          <w:tcPr>
            <w:tcW w:w="1980" w:type="dxa"/>
            <w:vAlign w:val="center"/>
          </w:tcPr>
          <w:p w:rsidR="00D80B95" w:rsidRPr="00D80B95" w:rsidRDefault="00D80B95" w:rsidP="00D80B95">
            <w:pPr>
              <w:jc w:val="center"/>
              <w:rPr>
                <w:rFonts w:ascii="Arial" w:hAnsi="Arial" w:cs="Arial"/>
                <w:kern w:val="24"/>
                <w:lang w:val="en-US"/>
              </w:rPr>
            </w:pPr>
            <w:r w:rsidRPr="00D80B95">
              <w:rPr>
                <w:rFonts w:ascii="Arial" w:hAnsi="Arial" w:cs="Arial"/>
                <w:kern w:val="24"/>
                <w:lang w:val="en-US"/>
              </w:rPr>
              <w:t>2050h to 2145h</w:t>
            </w:r>
          </w:p>
        </w:tc>
        <w:tc>
          <w:tcPr>
            <w:tcW w:w="5870" w:type="dxa"/>
          </w:tcPr>
          <w:p w:rsidR="00D80B95" w:rsidRPr="00D80B95" w:rsidRDefault="00D80B95" w:rsidP="00D80B95">
            <w:pPr>
              <w:spacing w:line="256" w:lineRule="auto"/>
              <w:textAlignment w:val="center"/>
              <w:rPr>
                <w:rFonts w:ascii="Arial" w:hAnsi="Arial" w:cs="Arial"/>
                <w:kern w:val="24"/>
              </w:rPr>
            </w:pPr>
            <w:r w:rsidRPr="00D80B95">
              <w:rPr>
                <w:rFonts w:ascii="Arial" w:eastAsia="DengXian" w:hAnsi="Arial" w:cs="Arial"/>
                <w:kern w:val="24"/>
                <w:szCs w:val="28"/>
              </w:rPr>
              <w:t>Mustafa Centre (145 Syed Alwi Road)</w:t>
            </w:r>
          </w:p>
        </w:tc>
      </w:tr>
      <w:tr w:rsidR="00D80B95" w:rsidRPr="00D80B95" w:rsidTr="00E17A38">
        <w:tc>
          <w:tcPr>
            <w:tcW w:w="1165" w:type="dxa"/>
            <w:vAlign w:val="center"/>
          </w:tcPr>
          <w:p w:rsidR="00D80B95" w:rsidRPr="00D80B95" w:rsidRDefault="00D80B95" w:rsidP="00D80B95">
            <w:pPr>
              <w:jc w:val="center"/>
              <w:rPr>
                <w:rFonts w:ascii="Arial" w:hAnsi="Arial" w:cs="Arial"/>
                <w:kern w:val="24"/>
              </w:rPr>
            </w:pPr>
            <w:r w:rsidRPr="00D80B95">
              <w:rPr>
                <w:rFonts w:ascii="Arial" w:hAnsi="Arial" w:cs="Arial"/>
                <w:kern w:val="24"/>
              </w:rPr>
              <w:t>11 Jun</w:t>
            </w:r>
          </w:p>
        </w:tc>
        <w:tc>
          <w:tcPr>
            <w:tcW w:w="1980" w:type="dxa"/>
            <w:vAlign w:val="center"/>
          </w:tcPr>
          <w:p w:rsidR="00D80B95" w:rsidRPr="00D80B95" w:rsidRDefault="00D80B95" w:rsidP="00D80B95">
            <w:pPr>
              <w:jc w:val="center"/>
              <w:rPr>
                <w:rFonts w:ascii="Arial" w:hAnsi="Arial" w:cs="Arial"/>
                <w:kern w:val="24"/>
                <w:lang w:val="en-US"/>
              </w:rPr>
            </w:pPr>
            <w:r w:rsidRPr="00D80B95">
              <w:rPr>
                <w:rFonts w:ascii="Arial" w:hAnsi="Arial" w:cs="Arial"/>
                <w:kern w:val="24"/>
                <w:lang w:val="en-US"/>
              </w:rPr>
              <w:t>1730h to 1800h</w:t>
            </w:r>
          </w:p>
        </w:tc>
        <w:tc>
          <w:tcPr>
            <w:tcW w:w="5870" w:type="dxa"/>
            <w:vAlign w:val="center"/>
          </w:tcPr>
          <w:p w:rsidR="00D80B95" w:rsidRPr="00D80B95" w:rsidRDefault="00D80B95" w:rsidP="00D80B95">
            <w:pPr>
              <w:spacing w:line="256" w:lineRule="auto"/>
              <w:textAlignment w:val="center"/>
              <w:rPr>
                <w:rFonts w:ascii="Arial" w:hAnsi="Arial" w:cs="Arial"/>
                <w:kern w:val="24"/>
              </w:rPr>
            </w:pPr>
            <w:r w:rsidRPr="00D80B95">
              <w:rPr>
                <w:rFonts w:ascii="Arial" w:hAnsi="Arial" w:cs="Arial"/>
                <w:kern w:val="24"/>
              </w:rPr>
              <w:t>Sri Murugan Trading Pte Ltd (86 Syed Alwi Road)</w:t>
            </w:r>
          </w:p>
        </w:tc>
      </w:tr>
      <w:tr w:rsidR="00D80B95" w:rsidRPr="00D80B95" w:rsidTr="00E17A38">
        <w:tc>
          <w:tcPr>
            <w:tcW w:w="1165" w:type="dxa"/>
            <w:vAlign w:val="center"/>
          </w:tcPr>
          <w:p w:rsidR="00D80B95" w:rsidRPr="00D80B95" w:rsidRDefault="00D80B95" w:rsidP="00D80B95">
            <w:pPr>
              <w:jc w:val="center"/>
              <w:rPr>
                <w:rFonts w:ascii="Arial" w:hAnsi="Arial" w:cs="Arial"/>
                <w:kern w:val="24"/>
              </w:rPr>
            </w:pPr>
            <w:r w:rsidRPr="00D80B95">
              <w:rPr>
                <w:rFonts w:ascii="Arial" w:hAnsi="Arial" w:cs="Arial"/>
                <w:kern w:val="24"/>
              </w:rPr>
              <w:t>11 Jun</w:t>
            </w:r>
          </w:p>
        </w:tc>
        <w:tc>
          <w:tcPr>
            <w:tcW w:w="1980" w:type="dxa"/>
            <w:vAlign w:val="center"/>
          </w:tcPr>
          <w:p w:rsidR="00D80B95" w:rsidRPr="00D80B95" w:rsidRDefault="00D80B95" w:rsidP="00D80B95">
            <w:pPr>
              <w:jc w:val="center"/>
              <w:rPr>
                <w:rFonts w:ascii="Arial" w:hAnsi="Arial" w:cs="Arial"/>
                <w:kern w:val="24"/>
                <w:lang w:val="en-US"/>
              </w:rPr>
            </w:pPr>
            <w:r w:rsidRPr="00D80B95">
              <w:rPr>
                <w:rFonts w:ascii="Arial" w:hAnsi="Arial" w:cs="Arial"/>
                <w:kern w:val="24"/>
                <w:lang w:val="en-US"/>
              </w:rPr>
              <w:t>2000h to 2040h</w:t>
            </w:r>
          </w:p>
        </w:tc>
        <w:tc>
          <w:tcPr>
            <w:tcW w:w="5870" w:type="dxa"/>
            <w:vAlign w:val="center"/>
          </w:tcPr>
          <w:p w:rsidR="00D80B95" w:rsidRPr="00D80B95" w:rsidRDefault="00D80B95" w:rsidP="00D80B95">
            <w:pPr>
              <w:spacing w:line="256" w:lineRule="auto"/>
              <w:textAlignment w:val="center"/>
              <w:rPr>
                <w:rFonts w:ascii="Arial" w:hAnsi="Arial" w:cs="Arial"/>
                <w:kern w:val="24"/>
              </w:rPr>
            </w:pPr>
            <w:r w:rsidRPr="00D80B95">
              <w:rPr>
                <w:rFonts w:ascii="Arial" w:hAnsi="Arial" w:cs="Arial"/>
                <w:kern w:val="24"/>
              </w:rPr>
              <w:t>SF Chandpur Minimart Pte Ltd (6 Desker Road)</w:t>
            </w:r>
          </w:p>
        </w:tc>
      </w:tr>
      <w:tr w:rsidR="00D80B95" w:rsidRPr="00D80B95" w:rsidTr="00E17A38">
        <w:tc>
          <w:tcPr>
            <w:tcW w:w="1165" w:type="dxa"/>
            <w:vAlign w:val="center"/>
          </w:tcPr>
          <w:p w:rsidR="00D80B95" w:rsidRPr="00D80B95" w:rsidRDefault="00D80B95" w:rsidP="00D80B95">
            <w:pPr>
              <w:jc w:val="center"/>
              <w:rPr>
                <w:rFonts w:ascii="Arial" w:hAnsi="Arial" w:cs="Arial"/>
                <w:kern w:val="24"/>
              </w:rPr>
            </w:pPr>
            <w:r w:rsidRPr="00D80B95">
              <w:rPr>
                <w:rFonts w:ascii="Arial" w:hAnsi="Arial" w:cs="Arial"/>
                <w:kern w:val="24"/>
              </w:rPr>
              <w:t>14 Jun</w:t>
            </w:r>
          </w:p>
        </w:tc>
        <w:tc>
          <w:tcPr>
            <w:tcW w:w="1980" w:type="dxa"/>
            <w:vAlign w:val="center"/>
          </w:tcPr>
          <w:p w:rsidR="00D80B95" w:rsidRPr="00D80B95" w:rsidRDefault="00D80B95" w:rsidP="00D80B95">
            <w:pPr>
              <w:jc w:val="center"/>
              <w:rPr>
                <w:rFonts w:ascii="Arial" w:hAnsi="Arial" w:cs="Arial"/>
                <w:kern w:val="24"/>
                <w:lang w:val="en-US"/>
              </w:rPr>
            </w:pPr>
            <w:r w:rsidRPr="00D80B95">
              <w:rPr>
                <w:rFonts w:ascii="Arial" w:hAnsi="Arial" w:cs="Arial"/>
                <w:kern w:val="24"/>
                <w:lang w:val="en-US"/>
              </w:rPr>
              <w:t>1730h to 1800h</w:t>
            </w:r>
          </w:p>
        </w:tc>
        <w:tc>
          <w:tcPr>
            <w:tcW w:w="5870" w:type="dxa"/>
            <w:vAlign w:val="center"/>
          </w:tcPr>
          <w:p w:rsidR="00D80B95" w:rsidRPr="00D80B95" w:rsidRDefault="00D80B95" w:rsidP="00D80B95">
            <w:pPr>
              <w:spacing w:line="256" w:lineRule="auto"/>
              <w:textAlignment w:val="center"/>
              <w:rPr>
                <w:rFonts w:ascii="Arial" w:hAnsi="Arial" w:cs="Arial"/>
                <w:kern w:val="24"/>
              </w:rPr>
            </w:pPr>
            <w:r w:rsidRPr="00D80B95">
              <w:rPr>
                <w:rFonts w:ascii="Arial" w:hAnsi="Arial" w:cs="Arial"/>
                <w:kern w:val="24"/>
              </w:rPr>
              <w:t>New World Centre (1 Jalan Berseh)</w:t>
            </w:r>
          </w:p>
          <w:p w:rsidR="00D80B95" w:rsidRPr="00D80B95" w:rsidRDefault="00D80B95" w:rsidP="00D80B95">
            <w:pPr>
              <w:numPr>
                <w:ilvl w:val="0"/>
                <w:numId w:val="1"/>
              </w:numPr>
              <w:spacing w:line="256" w:lineRule="auto"/>
              <w:textAlignment w:val="center"/>
              <w:rPr>
                <w:rFonts w:ascii="Arial" w:hAnsi="Arial" w:cs="Arial"/>
                <w:kern w:val="24"/>
              </w:rPr>
            </w:pPr>
            <w:r w:rsidRPr="00D80B95">
              <w:rPr>
                <w:rFonts w:ascii="Arial" w:hAnsi="Arial" w:cs="Arial"/>
                <w:kern w:val="24"/>
              </w:rPr>
              <w:t>Sheng Siong Supermarket</w:t>
            </w:r>
          </w:p>
        </w:tc>
      </w:tr>
      <w:tr w:rsidR="00D80B95" w:rsidRPr="00D80B95" w:rsidTr="00E17A38">
        <w:tc>
          <w:tcPr>
            <w:tcW w:w="1165" w:type="dxa"/>
            <w:vAlign w:val="center"/>
          </w:tcPr>
          <w:p w:rsidR="00D80B95" w:rsidRPr="00D80B95" w:rsidRDefault="00D80B95" w:rsidP="00D80B95">
            <w:pPr>
              <w:jc w:val="center"/>
              <w:rPr>
                <w:rFonts w:ascii="Arial" w:hAnsi="Arial" w:cs="Arial"/>
                <w:kern w:val="24"/>
              </w:rPr>
            </w:pPr>
            <w:r w:rsidRPr="00D80B95">
              <w:rPr>
                <w:rFonts w:ascii="Arial" w:hAnsi="Arial" w:cs="Arial"/>
                <w:kern w:val="24"/>
              </w:rPr>
              <w:t>14 Jun</w:t>
            </w:r>
          </w:p>
        </w:tc>
        <w:tc>
          <w:tcPr>
            <w:tcW w:w="1980" w:type="dxa"/>
            <w:vAlign w:val="center"/>
          </w:tcPr>
          <w:p w:rsidR="00D80B95" w:rsidRPr="00D80B95" w:rsidRDefault="00D80B95" w:rsidP="00D80B95">
            <w:pPr>
              <w:jc w:val="center"/>
              <w:rPr>
                <w:rFonts w:ascii="Arial" w:hAnsi="Arial" w:cs="Arial"/>
                <w:kern w:val="24"/>
                <w:lang w:val="en-US"/>
              </w:rPr>
            </w:pPr>
            <w:r w:rsidRPr="00D80B95">
              <w:rPr>
                <w:rFonts w:ascii="Arial" w:hAnsi="Arial" w:cs="Arial"/>
                <w:kern w:val="24"/>
                <w:lang w:val="en-US"/>
              </w:rPr>
              <w:t>2000h to 2100h</w:t>
            </w:r>
          </w:p>
        </w:tc>
        <w:tc>
          <w:tcPr>
            <w:tcW w:w="5870" w:type="dxa"/>
            <w:vAlign w:val="center"/>
          </w:tcPr>
          <w:p w:rsidR="00D80B95" w:rsidRPr="00D80B95" w:rsidRDefault="00D80B95" w:rsidP="00D80B95">
            <w:pPr>
              <w:spacing w:line="256" w:lineRule="auto"/>
              <w:textAlignment w:val="center"/>
              <w:rPr>
                <w:rFonts w:ascii="Arial" w:hAnsi="Arial" w:cs="Arial"/>
                <w:kern w:val="24"/>
              </w:rPr>
            </w:pPr>
            <w:r w:rsidRPr="00D80B95">
              <w:rPr>
                <w:rFonts w:ascii="Arial" w:hAnsi="Arial" w:cs="Arial"/>
                <w:kern w:val="24"/>
              </w:rPr>
              <w:t>Prime Supermarket (803 King George’s Avenue)</w:t>
            </w:r>
          </w:p>
        </w:tc>
      </w:tr>
      <w:tr w:rsidR="00D80B95" w:rsidRPr="00D80B95" w:rsidTr="00E17A38">
        <w:tc>
          <w:tcPr>
            <w:tcW w:w="1165" w:type="dxa"/>
            <w:vAlign w:val="center"/>
          </w:tcPr>
          <w:p w:rsidR="00D80B95" w:rsidRPr="00D80B95" w:rsidRDefault="00D80B95" w:rsidP="00D80B95">
            <w:pPr>
              <w:jc w:val="center"/>
              <w:rPr>
                <w:rFonts w:ascii="Arial" w:hAnsi="Arial" w:cs="Arial"/>
                <w:kern w:val="24"/>
              </w:rPr>
            </w:pPr>
            <w:r w:rsidRPr="00D80B95">
              <w:rPr>
                <w:rFonts w:ascii="Arial" w:hAnsi="Arial" w:cs="Arial"/>
                <w:kern w:val="24"/>
              </w:rPr>
              <w:t>15 Jun</w:t>
            </w:r>
          </w:p>
        </w:tc>
        <w:tc>
          <w:tcPr>
            <w:tcW w:w="1980" w:type="dxa"/>
            <w:vAlign w:val="center"/>
          </w:tcPr>
          <w:p w:rsidR="00D80B95" w:rsidRPr="00D80B95" w:rsidRDefault="00D80B95" w:rsidP="00D80B95">
            <w:pPr>
              <w:jc w:val="center"/>
              <w:rPr>
                <w:rFonts w:ascii="Arial" w:hAnsi="Arial" w:cs="Arial"/>
                <w:kern w:val="24"/>
                <w:lang w:val="en-US"/>
              </w:rPr>
            </w:pPr>
            <w:r w:rsidRPr="00D80B95">
              <w:rPr>
                <w:rFonts w:ascii="Arial" w:hAnsi="Arial" w:cs="Arial"/>
                <w:kern w:val="24"/>
                <w:lang w:val="en-US"/>
              </w:rPr>
              <w:t>1825h to 2055h</w:t>
            </w:r>
          </w:p>
        </w:tc>
        <w:tc>
          <w:tcPr>
            <w:tcW w:w="5870" w:type="dxa"/>
            <w:vAlign w:val="center"/>
          </w:tcPr>
          <w:p w:rsidR="00D80B95" w:rsidRPr="00D80B95" w:rsidRDefault="00D80B95" w:rsidP="00D80B95">
            <w:pPr>
              <w:spacing w:line="256" w:lineRule="auto"/>
              <w:textAlignment w:val="center"/>
              <w:rPr>
                <w:rFonts w:ascii="Arial" w:hAnsi="Arial" w:cs="Arial"/>
                <w:kern w:val="24"/>
              </w:rPr>
            </w:pPr>
            <w:r w:rsidRPr="00D80B95">
              <w:rPr>
                <w:rFonts w:ascii="Arial" w:hAnsi="Arial" w:cs="Arial"/>
                <w:kern w:val="24"/>
              </w:rPr>
              <w:t>NTUC FairPrice (447A Jalan Kayu)</w:t>
            </w:r>
          </w:p>
        </w:tc>
      </w:tr>
      <w:tr w:rsidR="00D80B95" w:rsidRPr="00D80B95" w:rsidTr="00E17A38">
        <w:tc>
          <w:tcPr>
            <w:tcW w:w="1165" w:type="dxa"/>
            <w:vAlign w:val="center"/>
          </w:tcPr>
          <w:p w:rsidR="00D80B95" w:rsidRPr="00D80B95" w:rsidRDefault="00D80B95" w:rsidP="00D80B95">
            <w:pPr>
              <w:jc w:val="center"/>
              <w:rPr>
                <w:rFonts w:ascii="Arial" w:hAnsi="Arial" w:cs="Arial"/>
                <w:kern w:val="24"/>
              </w:rPr>
            </w:pPr>
            <w:r w:rsidRPr="00D80B95">
              <w:rPr>
                <w:rFonts w:ascii="Arial" w:hAnsi="Arial" w:cs="Arial"/>
                <w:kern w:val="24"/>
              </w:rPr>
              <w:t>19 Jun</w:t>
            </w:r>
          </w:p>
        </w:tc>
        <w:tc>
          <w:tcPr>
            <w:tcW w:w="1980" w:type="dxa"/>
            <w:vAlign w:val="center"/>
          </w:tcPr>
          <w:p w:rsidR="00D80B95" w:rsidRPr="00D80B95" w:rsidRDefault="00D80B95" w:rsidP="00D80B95">
            <w:pPr>
              <w:jc w:val="center"/>
              <w:rPr>
                <w:rFonts w:ascii="Arial" w:hAnsi="Arial" w:cs="Arial"/>
                <w:kern w:val="24"/>
                <w:lang w:val="en-US"/>
              </w:rPr>
            </w:pPr>
            <w:r w:rsidRPr="00D80B95">
              <w:rPr>
                <w:rFonts w:ascii="Arial" w:hAnsi="Arial" w:cs="Arial"/>
                <w:kern w:val="24"/>
                <w:lang w:val="en-US"/>
              </w:rPr>
              <w:t>1715h to 1805h</w:t>
            </w:r>
          </w:p>
        </w:tc>
        <w:tc>
          <w:tcPr>
            <w:tcW w:w="5870" w:type="dxa"/>
            <w:vAlign w:val="center"/>
          </w:tcPr>
          <w:p w:rsidR="00D80B95" w:rsidRPr="00D80B95" w:rsidRDefault="00D80B95" w:rsidP="00D80B95">
            <w:pPr>
              <w:spacing w:line="256" w:lineRule="auto"/>
              <w:textAlignment w:val="center"/>
              <w:rPr>
                <w:rFonts w:ascii="Arial" w:hAnsi="Arial" w:cs="Arial"/>
                <w:kern w:val="24"/>
              </w:rPr>
            </w:pPr>
            <w:r w:rsidRPr="00D80B95">
              <w:rPr>
                <w:rFonts w:ascii="Arial" w:hAnsi="Arial" w:cs="Arial"/>
                <w:kern w:val="24"/>
              </w:rPr>
              <w:t>Sheng Siong Supermarket (19 Serangoon North Avenue 5)</w:t>
            </w:r>
          </w:p>
        </w:tc>
      </w:tr>
      <w:tr w:rsidR="00D80B95" w:rsidRPr="00D80B95" w:rsidTr="00E17A38">
        <w:tc>
          <w:tcPr>
            <w:tcW w:w="1165" w:type="dxa"/>
            <w:vAlign w:val="center"/>
          </w:tcPr>
          <w:p w:rsidR="00D80B95" w:rsidRPr="00D80B95" w:rsidRDefault="00D80B95" w:rsidP="00D80B95">
            <w:pPr>
              <w:jc w:val="center"/>
              <w:rPr>
                <w:rFonts w:ascii="Arial" w:hAnsi="Arial" w:cs="Arial"/>
                <w:kern w:val="24"/>
              </w:rPr>
            </w:pPr>
            <w:r w:rsidRPr="00D80B95">
              <w:rPr>
                <w:rFonts w:ascii="Arial" w:hAnsi="Arial" w:cs="Arial"/>
                <w:kern w:val="24"/>
              </w:rPr>
              <w:t>19 Jun</w:t>
            </w:r>
          </w:p>
        </w:tc>
        <w:tc>
          <w:tcPr>
            <w:tcW w:w="1980" w:type="dxa"/>
            <w:vAlign w:val="center"/>
          </w:tcPr>
          <w:p w:rsidR="00D80B95" w:rsidRPr="00D80B95" w:rsidRDefault="00D80B95" w:rsidP="00D80B95">
            <w:pPr>
              <w:jc w:val="center"/>
              <w:rPr>
                <w:rFonts w:ascii="Arial" w:hAnsi="Arial" w:cs="Arial"/>
                <w:kern w:val="24"/>
                <w:lang w:val="en-US"/>
              </w:rPr>
            </w:pPr>
            <w:r w:rsidRPr="00D80B95">
              <w:rPr>
                <w:rFonts w:ascii="Arial" w:hAnsi="Arial" w:cs="Arial"/>
                <w:kern w:val="24"/>
                <w:lang w:val="en-US"/>
              </w:rPr>
              <w:t>2005h to 2140h</w:t>
            </w:r>
          </w:p>
        </w:tc>
        <w:tc>
          <w:tcPr>
            <w:tcW w:w="5870" w:type="dxa"/>
            <w:vAlign w:val="center"/>
          </w:tcPr>
          <w:p w:rsidR="00D80B95" w:rsidRPr="00D80B95" w:rsidRDefault="00D80B95" w:rsidP="00D80B95">
            <w:pPr>
              <w:spacing w:line="256" w:lineRule="auto"/>
              <w:textAlignment w:val="center"/>
              <w:rPr>
                <w:rFonts w:ascii="Arial" w:hAnsi="Arial" w:cs="Arial"/>
                <w:kern w:val="24"/>
              </w:rPr>
            </w:pPr>
            <w:r w:rsidRPr="00D80B95">
              <w:rPr>
                <w:rFonts w:ascii="Arial" w:hAnsi="Arial" w:cs="Arial"/>
                <w:kern w:val="24"/>
              </w:rPr>
              <w:t>Northpoint City (930 Yishun Avenue 2)</w:t>
            </w:r>
          </w:p>
          <w:p w:rsidR="00D80B95" w:rsidRPr="00D80B95" w:rsidRDefault="00D80B95" w:rsidP="00D80B95">
            <w:pPr>
              <w:numPr>
                <w:ilvl w:val="0"/>
                <w:numId w:val="1"/>
              </w:numPr>
              <w:spacing w:line="256" w:lineRule="auto"/>
              <w:textAlignment w:val="center"/>
              <w:rPr>
                <w:rFonts w:ascii="Arial" w:hAnsi="Arial" w:cs="Arial"/>
                <w:kern w:val="24"/>
              </w:rPr>
            </w:pPr>
            <w:r w:rsidRPr="00D80B95">
              <w:rPr>
                <w:rFonts w:ascii="Arial" w:hAnsi="Arial" w:cs="Arial"/>
                <w:kern w:val="24"/>
              </w:rPr>
              <w:t>Seoul Garden</w:t>
            </w:r>
          </w:p>
        </w:tc>
      </w:tr>
      <w:bookmarkEnd w:id="1"/>
    </w:tbl>
    <w:p w:rsidR="00D80B95" w:rsidRPr="00D80B95" w:rsidRDefault="00D80B95" w:rsidP="00D80B95">
      <w:pPr>
        <w:spacing w:after="0" w:line="240" w:lineRule="auto"/>
        <w:jc w:val="both"/>
        <w:rPr>
          <w:rFonts w:ascii="Arial" w:eastAsia="DengXian" w:hAnsi="Arial" w:cs="Arial"/>
          <w:szCs w:val="20"/>
        </w:rPr>
      </w:pPr>
    </w:p>
    <w:p w:rsidR="00D80B95" w:rsidRPr="00D80B95" w:rsidRDefault="00D80B95" w:rsidP="00D80B95">
      <w:pPr>
        <w:spacing w:after="0" w:line="240" w:lineRule="auto"/>
        <w:jc w:val="both"/>
        <w:rPr>
          <w:rFonts w:ascii="Arial" w:eastAsia="DengXian" w:hAnsi="Arial" w:cs="Arial"/>
          <w:szCs w:val="20"/>
        </w:rPr>
      </w:pPr>
      <w:r w:rsidRPr="00D80B95">
        <w:rPr>
          <w:rFonts w:ascii="Arial" w:eastAsia="DengXian" w:hAnsi="Arial" w:cs="Arial"/>
          <w:szCs w:val="20"/>
        </w:rPr>
        <w:t>Those who had been identified as close contacts of confirmed cases would already have been notified by MOH.</w:t>
      </w:r>
    </w:p>
    <w:p w:rsidR="00D80B95" w:rsidRPr="00D80B95" w:rsidRDefault="00D80B95" w:rsidP="00D80B95">
      <w:pPr>
        <w:spacing w:after="0" w:line="240" w:lineRule="auto"/>
        <w:jc w:val="both"/>
        <w:rPr>
          <w:rFonts w:ascii="Arial" w:eastAsia="DengXian" w:hAnsi="Arial" w:cs="Arial"/>
          <w:szCs w:val="20"/>
        </w:rPr>
      </w:pPr>
    </w:p>
    <w:p w:rsidR="00D80B95" w:rsidRPr="00D80B95" w:rsidRDefault="00D80B95" w:rsidP="00D80B95">
      <w:pPr>
        <w:spacing w:after="0" w:line="240" w:lineRule="auto"/>
        <w:jc w:val="both"/>
        <w:rPr>
          <w:rFonts w:ascii="Arial" w:eastAsia="DengXian" w:hAnsi="Arial" w:cs="Arial"/>
          <w:szCs w:val="20"/>
        </w:rPr>
      </w:pPr>
      <w:r w:rsidRPr="00D80B95">
        <w:rPr>
          <w:rFonts w:ascii="Arial" w:eastAsia="DengXian" w:hAnsi="Arial" w:cs="Arial"/>
          <w:szCs w:val="20"/>
        </w:rPr>
        <w:t xml:space="preserve">As a precautionary measure, persons who had been at these locations during the specified timings should monitor their health closely for 14 days from their date of visit. They should see a doctor promptly if they develop symptoms of acute respiratory infection (such as cough, sore throat and runny nose), as well as fever and loss of taste or smell, and inform the doctor of their exposure history. </w:t>
      </w:r>
    </w:p>
    <w:p w:rsidR="00D80B95" w:rsidRPr="00D80B95" w:rsidRDefault="00D80B95" w:rsidP="00D80B95">
      <w:pPr>
        <w:spacing w:after="0" w:line="240" w:lineRule="auto"/>
        <w:jc w:val="center"/>
        <w:rPr>
          <w:rFonts w:ascii="Arial" w:eastAsia="DengXian" w:hAnsi="Arial" w:cs="Arial"/>
          <w:szCs w:val="20"/>
        </w:rPr>
      </w:pPr>
    </w:p>
    <w:p w:rsidR="00D80B95" w:rsidRPr="00D80B95" w:rsidRDefault="00D80B95" w:rsidP="00D80B95">
      <w:pPr>
        <w:spacing w:after="0" w:line="240" w:lineRule="auto"/>
        <w:jc w:val="both"/>
        <w:rPr>
          <w:rFonts w:ascii="Arial" w:eastAsia="DengXian" w:hAnsi="Arial" w:cs="Arial"/>
          <w:color w:val="000000"/>
        </w:rPr>
      </w:pPr>
      <w:r w:rsidRPr="00D80B95">
        <w:rPr>
          <w:rFonts w:ascii="Arial" w:eastAsia="DengXian" w:hAnsi="Arial" w:cs="Arial"/>
          <w:color w:val="000000"/>
        </w:rPr>
        <w:t xml:space="preserve">There is no need to avoid places where confirmed cases of COVID-19 have been. The National Environment Agency will engage the management of affected premises to provide guidance on cleaning and disinfection. </w:t>
      </w:r>
    </w:p>
    <w:p w:rsidR="003F2FCB" w:rsidRDefault="003F2FCB">
      <w:bookmarkStart w:id="2" w:name="_GoBack"/>
      <w:bookmarkEnd w:id="2"/>
    </w:p>
    <w:sectPr w:rsidR="003F2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B95" w:rsidRDefault="00D80B95" w:rsidP="00D80B95">
      <w:pPr>
        <w:spacing w:after="0" w:line="240" w:lineRule="auto"/>
      </w:pPr>
      <w:r>
        <w:separator/>
      </w:r>
    </w:p>
  </w:endnote>
  <w:endnote w:type="continuationSeparator" w:id="0">
    <w:p w:rsidR="00D80B95" w:rsidRDefault="00D80B95" w:rsidP="00D8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95" w:rsidRDefault="00D80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95" w:rsidRDefault="00D80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95" w:rsidRDefault="00D8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B95" w:rsidRDefault="00D80B95" w:rsidP="00D80B95">
      <w:pPr>
        <w:spacing w:after="0" w:line="240" w:lineRule="auto"/>
      </w:pPr>
      <w:r>
        <w:separator/>
      </w:r>
    </w:p>
  </w:footnote>
  <w:footnote w:type="continuationSeparator" w:id="0">
    <w:p w:rsidR="00D80B95" w:rsidRDefault="00D80B95" w:rsidP="00D80B95">
      <w:pPr>
        <w:spacing w:after="0" w:line="240" w:lineRule="auto"/>
      </w:pPr>
      <w:r>
        <w:continuationSeparator/>
      </w:r>
    </w:p>
  </w:footnote>
  <w:footnote w:id="1">
    <w:p w:rsidR="00D80B95" w:rsidRPr="00C5729E" w:rsidRDefault="00D80B95" w:rsidP="00D80B95">
      <w:pPr>
        <w:pStyle w:val="FootnoteText"/>
        <w:jc w:val="both"/>
        <w:rPr>
          <w:rFonts w:ascii="Arial" w:hAnsi="Arial" w:cs="Arial"/>
          <w:lang w:val="en-SG"/>
        </w:rPr>
      </w:pPr>
      <w:r w:rsidRPr="00C5729E">
        <w:rPr>
          <w:rStyle w:val="FootnoteReference"/>
          <w:rFonts w:ascii="Arial" w:hAnsi="Arial" w:cs="Arial"/>
        </w:rPr>
        <w:footnoteRef/>
      </w:r>
      <w:r w:rsidRPr="00C5729E">
        <w:rPr>
          <w:rFonts w:ascii="Arial" w:hAnsi="Arial" w:cs="Arial"/>
        </w:rPr>
        <w:t xml:space="preserve"> Exclud</w:t>
      </w:r>
      <w:r>
        <w:rPr>
          <w:rFonts w:ascii="Arial" w:hAnsi="Arial" w:cs="Arial"/>
        </w:rPr>
        <w:t xml:space="preserve">es residence, workplaces, </w:t>
      </w:r>
      <w:r w:rsidRPr="00C5729E">
        <w:rPr>
          <w:rFonts w:ascii="Arial" w:hAnsi="Arial" w:cs="Arial"/>
        </w:rPr>
        <w:t>healthcare facilities</w:t>
      </w:r>
      <w:r>
        <w:rPr>
          <w:rFonts w:ascii="Arial" w:hAnsi="Arial" w:cs="Arial"/>
        </w:rPr>
        <w:t xml:space="preserve"> and public transport</w:t>
      </w:r>
      <w:r w:rsidRPr="00C5729E">
        <w:rPr>
          <w:rFonts w:ascii="Arial" w:hAnsi="Arial" w:cs="Arial"/>
          <w:lang w:val="en-SG"/>
        </w:rPr>
        <w:t>. This list will be updated on a rolling 14-days basis, i.e. one incubation period</w:t>
      </w:r>
      <w:r>
        <w:rPr>
          <w:rFonts w:ascii="Arial" w:hAnsi="Arial" w:cs="Arial"/>
          <w:lang w:val="en-SG"/>
        </w:rPr>
        <w:t xml:space="preserve">, and as </w:t>
      </w:r>
      <w:r w:rsidRPr="00CD3732">
        <w:rPr>
          <w:rFonts w:ascii="Arial" w:hAnsi="Arial" w:cs="Arial"/>
        </w:rPr>
        <w:t>epidemiological investigations progress</w:t>
      </w:r>
      <w:r>
        <w:rPr>
          <w:rFonts w:ascii="Arial" w:hAnsi="Arial" w:cs="Arial"/>
        </w:rPr>
        <w:t>.</w:t>
      </w:r>
      <w:r>
        <w:rPr>
          <w:rFonts w:ascii="Arial" w:hAnsi="Arial" w:cs="Arial"/>
          <w:lang w:val="en-S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95" w:rsidRDefault="00D8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95" w:rsidRDefault="00D8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95" w:rsidRDefault="00D80B95" w:rsidP="002F7518">
    <w:pPr>
      <w:pStyle w:val="Header"/>
      <w:tabs>
        <w:tab w:val="left" w:pos="0"/>
        <w:tab w:val="left" w:pos="9214"/>
      </w:tabs>
    </w:pPr>
  </w:p>
  <w:p w:rsidR="00D80B95" w:rsidRDefault="00D8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5341E"/>
    <w:multiLevelType w:val="hybridMultilevel"/>
    <w:tmpl w:val="FF669D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95"/>
    <w:rsid w:val="003F2FCB"/>
    <w:rsid w:val="00D80B9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8CEBD6-E5AD-482C-A82C-2A1E7896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B95"/>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D80B95"/>
    <w:rPr>
      <w:rFonts w:ascii="Calibri" w:hAnsi="Calibri" w:cs="Calibri"/>
    </w:rPr>
  </w:style>
  <w:style w:type="paragraph" w:styleId="FootnoteText">
    <w:name w:val="footnote text"/>
    <w:basedOn w:val="Normal"/>
    <w:link w:val="FootnoteTextChar"/>
    <w:uiPriority w:val="99"/>
    <w:unhideWhenUsed/>
    <w:rsid w:val="00D80B95"/>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D80B95"/>
    <w:rPr>
      <w:rFonts w:ascii="Times New Roman" w:eastAsia="Times New Roman" w:hAnsi="Times New Roman" w:cs="Times New Roman"/>
      <w:sz w:val="20"/>
      <w:szCs w:val="20"/>
      <w:lang w:val="en-US" w:eastAsia="en-US"/>
    </w:rPr>
  </w:style>
  <w:style w:type="table" w:styleId="TableGrid">
    <w:name w:val="Table Grid"/>
    <w:basedOn w:val="TableNormal"/>
    <w:uiPriority w:val="39"/>
    <w:rsid w:val="00D80B95"/>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80B95"/>
    <w:rPr>
      <w:vertAlign w:val="superscript"/>
    </w:rPr>
  </w:style>
  <w:style w:type="paragraph" w:styleId="Footer">
    <w:name w:val="footer"/>
    <w:basedOn w:val="Normal"/>
    <w:link w:val="FooterChar"/>
    <w:uiPriority w:val="99"/>
    <w:unhideWhenUsed/>
    <w:rsid w:val="00D80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CHOO (MOH)</dc:creator>
  <cp:keywords/>
  <dc:description/>
  <cp:lastModifiedBy>Felicia CHOO (MOH)</cp:lastModifiedBy>
  <cp:revision>1</cp:revision>
  <dcterms:created xsi:type="dcterms:W3CDTF">2020-06-23T15:14:00Z</dcterms:created>
  <dcterms:modified xsi:type="dcterms:W3CDTF">2020-06-23T15:17:00Z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Felicia_CHOO@moh.gov.sg</vt:lpwstr>
  </property>
  <property fmtid="{D5CDD505-2E9C-101B-9397-08002B2CF9AE}" pid="5" name="MSIP_Label_3f9331f7-95a2-472a-92bc-d73219eb516b_SetDate">
    <vt:lpwstr>2020-06-23T15:17:44.5141188Z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87fbe700-bddf-4572-bcc8-5caa76f63305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Felicia_CHOO@moh.gov.sg</vt:lpwstr>
  </property>
  <property fmtid="{D5CDD505-2E9C-101B-9397-08002B2CF9AE}" pid="13" name="MSIP_Label_4f288355-fb4c-44cd-b9ca-40cfc2aee5f8_SetDate">
    <vt:lpwstr>2020-06-23T15:17:44.5141188Z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87fbe700-bddf-4572-bcc8-5caa76f63305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